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CD" w:rsidRPr="001B1DCD" w:rsidRDefault="001B1DCD" w:rsidP="001B1DCD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/>
          <w:sz w:val="18"/>
          <w:szCs w:val="18"/>
        </w:rPr>
      </w:pPr>
      <w:bookmarkStart w:id="0" w:name="_GoBack"/>
      <w:bookmarkEnd w:id="0"/>
    </w:p>
    <w:p w:rsidR="001B1DCD" w:rsidRPr="001B1DCD" w:rsidRDefault="001B1DCD" w:rsidP="001B1DCD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b/>
          <w:bCs/>
          <w:color w:val="000000"/>
          <w:sz w:val="18"/>
          <w:szCs w:val="18"/>
          <w:u w:val="single"/>
        </w:rPr>
      </w:pPr>
      <w:r w:rsidRPr="001B1DCD">
        <w:rPr>
          <w:rFonts w:ascii="Rockwell" w:hAnsi="Rockwell" w:cs="Helv"/>
          <w:b/>
          <w:bCs/>
          <w:color w:val="000000"/>
          <w:sz w:val="18"/>
          <w:szCs w:val="18"/>
          <w:u w:val="single"/>
        </w:rPr>
        <w:t xml:space="preserve">Asunto: Publicación de nueva guía XML importación.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b/>
          <w:bCs/>
          <w:color w:val="000000"/>
          <w:sz w:val="18"/>
          <w:szCs w:val="18"/>
          <w:u w:val="single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>A partir del 23 07 2019</w:t>
      </w:r>
      <w:r>
        <w:rPr>
          <w:rFonts w:ascii="Rockwell" w:hAnsi="Rockwell" w:cs="Helv"/>
          <w:color w:val="000000"/>
          <w:sz w:val="18"/>
          <w:szCs w:val="18"/>
        </w:rPr>
        <w:t xml:space="preserve"> - 00:00</w:t>
      </w:r>
      <w:r w:rsidRPr="001B1DCD">
        <w:rPr>
          <w:rFonts w:ascii="Rockwell" w:hAnsi="Rockwell" w:cs="Helv"/>
          <w:color w:val="000000"/>
          <w:sz w:val="18"/>
          <w:szCs w:val="18"/>
        </w:rPr>
        <w:t xml:space="preserve"> se modifica la guía XML de importación en lo siguiente: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a) En la respuesta a la declaración aduanera de importación admitida.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  <w:t>Los importes que se informan en las siguientes etiquetas quedarán como sigue: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a) 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TotalApagar</w:t>
      </w:r>
      <w:proofErr w:type="spellEnd"/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Reflejará el importe total a pagar de la declaración.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b) 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TotalAgarantizar</w:t>
      </w:r>
      <w:proofErr w:type="spellEnd"/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Reflejará el importe total a garantizar.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Hasta la fecha del 23 07 2019, este importe era el importe total a garantizar menos el importe exento de garantizar de IVA si el declarante era OEA y en representación directa.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A partir del 23 07 2019 será el importe total a garantizar.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b/>
          <w:bCs/>
          <w:color w:val="000000"/>
          <w:sz w:val="18"/>
          <w:szCs w:val="18"/>
        </w:rPr>
        <w:t>Nota:</w:t>
      </w:r>
      <w:r w:rsidRPr="001B1DCD">
        <w:rPr>
          <w:rFonts w:ascii="Rockwell" w:hAnsi="Rockwell" w:cs="Helv"/>
          <w:color w:val="000000"/>
          <w:sz w:val="18"/>
          <w:szCs w:val="18"/>
        </w:rPr>
        <w:t xml:space="preserve"> el día 03 07 2019 se igualó el contenido de esta etiqueta respecto a la consulta de la declaración de importación. Hasta esa fecha esta etiqueta contenía el total a garantizar.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>A partir del día 03 07 2019 se informa el total a garantizar menos el importe</w:t>
      </w:r>
      <w:r>
        <w:rPr>
          <w:rFonts w:ascii="Rockwell" w:hAnsi="Rockwell" w:cs="Helv"/>
          <w:color w:val="000000"/>
          <w:sz w:val="18"/>
          <w:szCs w:val="18"/>
        </w:rPr>
        <w:t xml:space="preserve"> exento de IVA en la respuesta a la declaración de importación.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>c) Se incluyen dos etiquetas nuevas_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1.- 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ExencionIVAGarantiaLevante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 xml:space="preserve">: importe exento de garantizar en la garantía de levante.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2.- 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ExencionIVAGarantiaPendencia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>: importe exento de garantizar en la garantía de pendencia.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3.- Estas nuevas etiquetas son opcionales.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>4.- No se modifica la versión del esquema de respuesta del</w:t>
      </w:r>
      <w:r>
        <w:rPr>
          <w:rFonts w:ascii="Rockwell" w:hAnsi="Rockwell" w:cs="Helv"/>
          <w:color w:val="000000"/>
          <w:sz w:val="18"/>
          <w:szCs w:val="18"/>
        </w:rPr>
        <w:t xml:space="preserve"> </w:t>
      </w:r>
      <w:r w:rsidRPr="001B1DCD">
        <w:rPr>
          <w:rFonts w:ascii="Rockwell" w:hAnsi="Rockwell" w:cs="Helv"/>
          <w:color w:val="000000"/>
          <w:sz w:val="18"/>
          <w:szCs w:val="18"/>
        </w:rPr>
        <w:t xml:space="preserve">mensaje.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b) En la respuesta a la consulta de una declaración aduanera de importación.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  <w:t xml:space="preserve">Se seguirán los mismos criterios anteriores.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c) Un ejemplo.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>&lt;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TotalApagar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>&gt;48.02&lt;/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TotalApagar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>&gt;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>&lt;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TotalAgarantizar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>&gt;48.02&lt;/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TotalAgarantizar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>&gt;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ab/>
      </w:r>
      <w:r w:rsidRPr="001B1DCD">
        <w:rPr>
          <w:rFonts w:ascii="Rockwell" w:hAnsi="Rockwell" w:cs="Helv"/>
          <w:color w:val="000000"/>
          <w:sz w:val="18"/>
          <w:szCs w:val="18"/>
        </w:rPr>
        <w:tab/>
        <w:t>&lt;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ExencionIVAGarantiaLevante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>&gt;34.02&gt;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 xml:space="preserve">La diferencia entre 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TotalAgarantizar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 xml:space="preserve"> y </w:t>
      </w:r>
      <w:proofErr w:type="spellStart"/>
      <w:r w:rsidRPr="001B1DCD">
        <w:rPr>
          <w:rFonts w:ascii="Rockwell" w:hAnsi="Rockwell" w:cs="Helv"/>
          <w:color w:val="000000"/>
          <w:sz w:val="18"/>
          <w:szCs w:val="18"/>
        </w:rPr>
        <w:t>ExencionIVAGarantiaLevante</w:t>
      </w:r>
      <w:proofErr w:type="spellEnd"/>
      <w:r w:rsidRPr="001B1DCD">
        <w:rPr>
          <w:rFonts w:ascii="Rockwell" w:hAnsi="Rockwell" w:cs="Helv"/>
          <w:color w:val="000000"/>
          <w:sz w:val="18"/>
          <w:szCs w:val="18"/>
        </w:rPr>
        <w:t xml:space="preserve"> será el importe que se garantizará: 48,02 - 34,02 = 14,00. 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color w:val="000000"/>
          <w:sz w:val="18"/>
          <w:szCs w:val="18"/>
        </w:rPr>
      </w:pPr>
      <w:r w:rsidRPr="001B1DCD">
        <w:rPr>
          <w:rFonts w:ascii="Rockwell" w:hAnsi="Rockwell" w:cs="Helv"/>
          <w:color w:val="000000"/>
          <w:sz w:val="18"/>
          <w:szCs w:val="18"/>
        </w:rPr>
        <w:t>Próximamente la nueva guía XML</w:t>
      </w:r>
      <w:r>
        <w:rPr>
          <w:rFonts w:ascii="Rockwell" w:hAnsi="Rockwell" w:cs="Helv"/>
          <w:color w:val="000000"/>
          <w:sz w:val="18"/>
          <w:szCs w:val="18"/>
        </w:rPr>
        <w:t xml:space="preserve"> de importacion</w:t>
      </w:r>
      <w:r w:rsidRPr="001B1DCD">
        <w:rPr>
          <w:rFonts w:ascii="Rockwell" w:hAnsi="Rockwell" w:cs="Helv"/>
          <w:color w:val="000000"/>
          <w:sz w:val="18"/>
          <w:szCs w:val="18"/>
        </w:rPr>
        <w:t xml:space="preserve"> (V1.10) se publicará en: </w:t>
      </w:r>
    </w:p>
    <w:p w:rsidR="00BA5473" w:rsidRDefault="00BA5473" w:rsidP="00BA547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  <w:r w:rsidRPr="00F141BC">
        <w:rPr>
          <w:rFonts w:ascii="Rockwell" w:hAnsi="Rockwell" w:cs="Helv"/>
          <w:sz w:val="18"/>
          <w:szCs w:val="18"/>
        </w:rPr>
        <w:t>Portal de la AEAT.</w:t>
      </w:r>
    </w:p>
    <w:p w:rsidR="00BA5473" w:rsidRDefault="00BA5473" w:rsidP="00BA547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</w:p>
    <w:p w:rsidR="00BA5473" w:rsidRPr="00F141BC" w:rsidRDefault="00145141" w:rsidP="00BA547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  <w:hyperlink r:id="rId5" w:history="1">
        <w:r w:rsidR="00BA5473" w:rsidRPr="00F141BC">
          <w:rPr>
            <w:rFonts w:ascii="Rockwell" w:hAnsi="Rockwell" w:cs="Tms Rmn"/>
            <w:sz w:val="18"/>
            <w:szCs w:val="18"/>
          </w:rPr>
          <w:t>Inicio</w:t>
        </w:r>
      </w:hyperlink>
      <w:r w:rsidR="00BA5473" w:rsidRPr="00F141BC">
        <w:rPr>
          <w:rFonts w:ascii="Rockwell" w:hAnsi="Rockwell"/>
          <w:sz w:val="18"/>
          <w:szCs w:val="18"/>
        </w:rPr>
        <w:t xml:space="preserve"> =&gt; </w:t>
      </w:r>
      <w:hyperlink r:id="rId6" w:history="1">
        <w:r w:rsidR="00BA5473" w:rsidRPr="00F141BC">
          <w:rPr>
            <w:rFonts w:ascii="Rockwell" w:hAnsi="Rockwell" w:cs="Tms Rmn"/>
            <w:sz w:val="18"/>
            <w:szCs w:val="18"/>
          </w:rPr>
          <w:t>La Agencia Tributaria</w:t>
        </w:r>
      </w:hyperlink>
      <w:r w:rsidR="00BA5473" w:rsidRPr="00F141BC">
        <w:rPr>
          <w:rFonts w:ascii="Rockwell" w:hAnsi="Rockwell"/>
          <w:sz w:val="18"/>
          <w:szCs w:val="18"/>
        </w:rPr>
        <w:t xml:space="preserve"> =&gt; </w:t>
      </w:r>
      <w:hyperlink r:id="rId7" w:history="1">
        <w:r w:rsidR="00BA5473" w:rsidRPr="00F141BC">
          <w:rPr>
            <w:rFonts w:ascii="Rockwell" w:hAnsi="Rockwell" w:cs="Tms Rmn"/>
            <w:sz w:val="18"/>
            <w:szCs w:val="18"/>
          </w:rPr>
          <w:t>Aduanas e Impuestos Especiales</w:t>
        </w:r>
      </w:hyperlink>
      <w:r w:rsidR="00BA5473" w:rsidRPr="00F141BC">
        <w:rPr>
          <w:rFonts w:ascii="Rockwell" w:hAnsi="Rockwell"/>
          <w:sz w:val="18"/>
          <w:szCs w:val="18"/>
        </w:rPr>
        <w:t xml:space="preserve"> =&gt;</w:t>
      </w:r>
      <w:r w:rsidR="00BA5473" w:rsidRPr="00F141BC">
        <w:rPr>
          <w:rFonts w:ascii="Rockwell" w:hAnsi="Rockwell" w:cs="Tms Rmn"/>
          <w:sz w:val="18"/>
          <w:szCs w:val="18"/>
        </w:rPr>
        <w:t xml:space="preserve">Aduanas e Impuestos Especiales =&gt; </w:t>
      </w:r>
      <w:hyperlink r:id="rId8" w:history="1">
        <w:r w:rsidR="00BA5473" w:rsidRPr="00F141BC">
          <w:rPr>
            <w:rFonts w:ascii="Rockwell" w:hAnsi="Rockwell" w:cs="Tms Rmn"/>
            <w:sz w:val="18"/>
            <w:szCs w:val="18"/>
          </w:rPr>
          <w:t>La Aduana española</w:t>
        </w:r>
      </w:hyperlink>
      <w:r w:rsidR="00BA5473" w:rsidRPr="00F141BC">
        <w:rPr>
          <w:rFonts w:ascii="Rockwell" w:hAnsi="Rockwell" w:cs="Tms Rmn"/>
          <w:sz w:val="18"/>
          <w:szCs w:val="18"/>
        </w:rPr>
        <w:t xml:space="preserve"> =&gt;INFORMACIÓN =&gt;</w:t>
      </w:r>
      <w:hyperlink r:id="rId9" w:history="1">
        <w:r w:rsidR="00BA5473" w:rsidRPr="00F141BC">
          <w:rPr>
            <w:rFonts w:ascii="Rockwell" w:hAnsi="Rockwell" w:cs="Tms Rmn"/>
            <w:sz w:val="18"/>
            <w:szCs w:val="18"/>
          </w:rPr>
          <w:t>Información general sobre presentación por Internet</w:t>
        </w:r>
      </w:hyperlink>
      <w:r w:rsidR="00BA5473" w:rsidRPr="00F141BC">
        <w:rPr>
          <w:rFonts w:ascii="Rockwell" w:hAnsi="Rockwell" w:cs="Tms Rmn"/>
          <w:sz w:val="18"/>
          <w:szCs w:val="18"/>
        </w:rPr>
        <w:t xml:space="preserve"> =&gt;</w:t>
      </w:r>
      <w:hyperlink r:id="rId10" w:history="1">
        <w:r w:rsidR="00BA5473" w:rsidRPr="00F141BC">
          <w:rPr>
            <w:rFonts w:ascii="Rockwell" w:hAnsi="Rockwell" w:cs="Tms Rmn"/>
            <w:sz w:val="18"/>
            <w:szCs w:val="18"/>
          </w:rPr>
          <w:t>Presentación DUA (Documento Único Administrativo)</w:t>
        </w:r>
      </w:hyperlink>
      <w:r w:rsidR="00BA5473" w:rsidRPr="00F141BC">
        <w:rPr>
          <w:rFonts w:ascii="Rockwell" w:hAnsi="Rockwell" w:cs="Tms Rmn"/>
          <w:sz w:val="18"/>
          <w:szCs w:val="18"/>
        </w:rPr>
        <w:t xml:space="preserve"> =&gt;Guías técnicas</w:t>
      </w:r>
    </w:p>
    <w:p w:rsidR="00BA5473" w:rsidRPr="001B1DCD" w:rsidRDefault="00BA5473" w:rsidP="00BA5473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</w:p>
    <w:p w:rsidR="00BA5473" w:rsidRPr="00F141BC" w:rsidRDefault="00BA5473" w:rsidP="00BA547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  <w:r>
        <w:rPr>
          <w:rFonts w:ascii="Rockwell" w:hAnsi="Rockwell" w:cs="Helv"/>
          <w:sz w:val="18"/>
          <w:szCs w:val="18"/>
        </w:rPr>
        <w:t>En la siguiente página:</w:t>
      </w:r>
    </w:p>
    <w:p w:rsidR="00BA5473" w:rsidRPr="001B1DCD" w:rsidRDefault="00145141" w:rsidP="00BA547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  <w:hyperlink r:id="rId11" w:history="1">
        <w:r w:rsidR="00BA5473" w:rsidRPr="001B1DCD">
          <w:rPr>
            <w:rStyle w:val="Hipervnculo"/>
            <w:rFonts w:ascii="Rockwell" w:hAnsi="Rockwell" w:cs="Helv"/>
            <w:sz w:val="18"/>
            <w:szCs w:val="18"/>
          </w:rPr>
          <w:t>https://www2.agenciatributaria.gob.es/ADUA/internet/ws.html</w:t>
        </w:r>
      </w:hyperlink>
      <w:r w:rsidR="00BA5473" w:rsidRPr="001B1DCD">
        <w:rPr>
          <w:rFonts w:ascii="Rockwell" w:hAnsi="Rockwell" w:cs="Helv"/>
          <w:sz w:val="18"/>
          <w:szCs w:val="18"/>
        </w:rPr>
        <w:t>,=&gt;</w:t>
      </w:r>
    </w:p>
    <w:p w:rsidR="00BA5473" w:rsidRPr="001B1DCD" w:rsidRDefault="00145141" w:rsidP="00BA547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Helv"/>
          <w:sz w:val="18"/>
          <w:szCs w:val="18"/>
        </w:rPr>
      </w:pPr>
      <w:hyperlink r:id="rId12" w:history="1">
        <w:r w:rsidR="00BA5473" w:rsidRPr="001B1DCD">
          <w:rPr>
            <w:rStyle w:val="Hipervnculo"/>
            <w:rFonts w:ascii="Rockwell" w:hAnsi="Rockwell"/>
            <w:sz w:val="18"/>
            <w:szCs w:val="18"/>
            <w:shd w:val="clear" w:color="auto" w:fill="FFFFFF"/>
          </w:rPr>
          <w:t>Guía de Servicios Web de Importacion. V1.10.docx</w:t>
        </w:r>
      </w:hyperlink>
    </w:p>
    <w:p w:rsidR="00F27EC3" w:rsidRPr="001B1DCD" w:rsidRDefault="00F27EC3" w:rsidP="001B1DCD">
      <w:pPr>
        <w:jc w:val="both"/>
        <w:rPr>
          <w:rFonts w:ascii="Rockwell" w:hAnsi="Rockwell"/>
          <w:sz w:val="18"/>
          <w:szCs w:val="18"/>
        </w:rPr>
      </w:pPr>
    </w:p>
    <w:sectPr w:rsidR="00F27EC3" w:rsidRPr="001B1DCD" w:rsidSect="00F4507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8E7832"/>
    <w:lvl w:ilvl="0">
      <w:numFmt w:val="bullet"/>
      <w:lvlText w:val="*"/>
      <w:lvlJc w:val="left"/>
    </w:lvl>
  </w:abstractNum>
  <w:abstractNum w:abstractNumId="1" w15:restartNumberingAfterBreak="0">
    <w:nsid w:val="04684089"/>
    <w:multiLevelType w:val="hybridMultilevel"/>
    <w:tmpl w:val="9C26DDB2"/>
    <w:lvl w:ilvl="0" w:tplc="80DCF5FE">
      <w:start w:val="1"/>
      <w:numFmt w:val="lowerLetter"/>
      <w:lvlText w:val="%1)"/>
      <w:lvlJc w:val="left"/>
      <w:pPr>
        <w:ind w:left="720" w:hanging="360"/>
      </w:pPr>
      <w:rPr>
        <w:rFonts w:ascii="Tms Rmn" w:hAnsi="Tms Rmn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4427E"/>
    <w:multiLevelType w:val="hybridMultilevel"/>
    <w:tmpl w:val="449C7E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CD"/>
    <w:rsid w:val="00145141"/>
    <w:rsid w:val="001B1DCD"/>
    <w:rsid w:val="002263AC"/>
    <w:rsid w:val="00BA5473"/>
    <w:rsid w:val="00F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4A81-FA59-4578-A7F3-BF993FA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D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1D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iatributaria.es/AEAT.internet/Inicio/La_Agencia_Tributaria/Aduanas_e_Impuestos_Especiales/_Presentacion/La_Aduana_espanola/La_Aduana_espanola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nciatributaria.es/AEAT.internet/Inicio/La_Agencia_Tributaria/Aduanas_e_Impuestos_Especiales/Aduanas_e_Impuestos_Especiales.shtml" TargetMode="External"/><Relationship Id="rId12" Type="http://schemas.openxmlformats.org/officeDocument/2006/relationships/hyperlink" Target="https://www2.agenciatributaria.gob.es/static_files/common/internet/dep/aduanas/es/aeat/dit/adu/adip/ws/Guia%20de%20Servicios%20Web%20de%20Importacion.%20V1.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nciatributaria.es/AEAT.internet/Inicio/La_Agencia_Tributaria/La_Agencia_Tributaria.shtml" TargetMode="External"/><Relationship Id="rId11" Type="http://schemas.openxmlformats.org/officeDocument/2006/relationships/hyperlink" Target="https://www2.agenciatributaria.gob.es/ADUA/internet/ws.html" TargetMode="External"/><Relationship Id="rId5" Type="http://schemas.openxmlformats.org/officeDocument/2006/relationships/hyperlink" Target="https://www.agenciatributaria.es/AEAT.internet/Inicio.shtml" TargetMode="External"/><Relationship Id="rId10" Type="http://schemas.openxmlformats.org/officeDocument/2006/relationships/hyperlink" Target="https://www.agenciatributaria.es/AEAT.internet/Inicio/La_Agencia_Tributaria/Aduanas_e_Impuestos_Especiales/_Presentacion/La_Aduana_espanola/_INFORMACION/Informacion_general_sobre_presentacion_por_Internet/Presentacion_DUA__Documento_Unico_Administrativo_/Presentacion_DUA__Documento_Unico_Administrativo_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ciatributaria.es/AEAT.internet/Inicio/La_Agencia_Tributaria/Aduanas_e_Impuestos_Especiales/_Presentacion/La_Aduana_espanola/_INFORMACION/Informacion_general_sobre_presentacion_por_Internet/Informacion_general_sobre_presentacion_por_Internet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Tributaria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AEAT</dc:creator>
  <cp:keywords/>
  <dc:description/>
  <cp:lastModifiedBy>Cristina Pascual Del Rio</cp:lastModifiedBy>
  <cp:revision>2</cp:revision>
  <dcterms:created xsi:type="dcterms:W3CDTF">2019-07-12T11:36:00Z</dcterms:created>
  <dcterms:modified xsi:type="dcterms:W3CDTF">2019-07-12T11:36:00Z</dcterms:modified>
</cp:coreProperties>
</file>