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b/>
          <w:bCs/>
          <w:color w:val="000000"/>
          <w:sz w:val="20"/>
          <w:szCs w:val="20"/>
          <w:u w:val="single"/>
        </w:rPr>
      </w:pPr>
      <w:r>
        <w:rPr>
          <w:rFonts w:ascii="Rockwell" w:hAnsi="Rockwell" w:cs="Rockwell"/>
          <w:b/>
          <w:bCs/>
          <w:color w:val="000000"/>
          <w:sz w:val="20"/>
          <w:szCs w:val="20"/>
          <w:u w:val="single"/>
        </w:rPr>
        <w:t xml:space="preserve">Asunto: Declaración de autorización aduanera DPO (Autorización de aplazamiento del pago) en la Cas. 44 de importación: implicaciones.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b/>
          <w:bCs/>
          <w:color w:val="000000"/>
          <w:sz w:val="20"/>
          <w:szCs w:val="20"/>
          <w:u w:val="single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A partir del 15 07 2019 (08:00) se podrá declarar el código C506 (DPO-Autorización de aplazamiento del pago de deuda real) en la Cas. 44 del dúa de importación.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Esta autorización ha de tener como titular al importador de la Cas. 8.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El GRN utilizado</w:t>
      </w:r>
      <w:bookmarkStart w:id="0" w:name="_GoBack"/>
      <w:bookmarkEnd w:id="0"/>
      <w:r>
        <w:rPr>
          <w:rFonts w:ascii="Rockwell" w:hAnsi="Rockwell" w:cs="Rockwell"/>
          <w:color w:val="000000"/>
          <w:sz w:val="20"/>
          <w:szCs w:val="20"/>
        </w:rPr>
        <w:t xml:space="preserve"> para realizar el trabado será el que tenga asignado la DPO.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Este GRN no necesariamente ha de ser del importador.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La recomendación es declarar las DPO en la primera partida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>del dúa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>.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  <w:u w:val="single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 a)</w:t>
      </w: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  <w:u w:val="single"/>
        </w:rPr>
        <w:t xml:space="preserve">Relación entre GRN declarados en </w:t>
      </w:r>
      <w:proofErr w:type="gramStart"/>
      <w:r>
        <w:rPr>
          <w:rFonts w:ascii="Rockwell" w:hAnsi="Rockwell" w:cs="Rockwell"/>
          <w:color w:val="000000"/>
          <w:sz w:val="20"/>
          <w:szCs w:val="20"/>
          <w:u w:val="single"/>
        </w:rPr>
        <w:t>el dúa</w:t>
      </w:r>
      <w:proofErr w:type="gramEnd"/>
      <w:r>
        <w:rPr>
          <w:rFonts w:ascii="Rockwell" w:hAnsi="Rockwell" w:cs="Rockwell"/>
          <w:color w:val="000000"/>
          <w:sz w:val="20"/>
          <w:szCs w:val="20"/>
          <w:u w:val="single"/>
        </w:rPr>
        <w:t xml:space="preserve"> y GRN asociados a las DPO declaradas en el dúa de importación en la Cas. 44.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Rockwell" w:hAnsi="Rockwell" w:cs="Rockwell"/>
          <w:color w:val="000000"/>
          <w:sz w:val="20"/>
          <w:szCs w:val="20"/>
          <w:u w:val="single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En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>el dúa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se pueden declarar los GRN a utilizar en la Cas. B.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Con lo nuevo, además, se puede declarar en la Cas. 44 autorizaciones DPO que conlleva el uso de los GRN asociados a la DPO.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1.- Lugar de declaración de los GRN.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</w:p>
    <w:tbl>
      <w:tblPr>
        <w:tblW w:w="11574" w:type="dxa"/>
        <w:tblInd w:w="-1369" w:type="dxa"/>
        <w:tblLayout w:type="fixed"/>
        <w:tblLook w:val="00A0" w:firstRow="1" w:lastRow="0" w:firstColumn="1" w:lastColumn="0" w:noHBand="0" w:noVBand="0"/>
      </w:tblPr>
      <w:tblGrid>
        <w:gridCol w:w="2667"/>
        <w:gridCol w:w="2666"/>
        <w:gridCol w:w="6241"/>
      </w:tblGrid>
      <w:tr w:rsidR="00C13B36" w:rsidTr="00C13B3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No se declara GRN en </w:t>
            </w:r>
            <w:proofErr w:type="gramStart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el dúa</w:t>
            </w:r>
            <w:proofErr w:type="gramEnd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 Cas. B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Sí se declara DPO en la Cas. 44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Los GRN utilizados para Garantizar serán los asociados a las DPO.  </w:t>
            </w:r>
          </w:p>
        </w:tc>
      </w:tr>
      <w:tr w:rsidR="00C13B36" w:rsidTr="00C13B3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Sí se declaran GRN en </w:t>
            </w:r>
            <w:proofErr w:type="gramStart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el dúa</w:t>
            </w:r>
            <w:proofErr w:type="gramEnd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 Cas. B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No se declara DPO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Se toman las garantías declaradas en </w:t>
            </w:r>
            <w:proofErr w:type="gramStart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el dúa</w:t>
            </w:r>
            <w:proofErr w:type="gramEnd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13B36" w:rsidTr="00C13B3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No se declaran GRN en </w:t>
            </w:r>
            <w:proofErr w:type="gramStart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el dúa</w:t>
            </w:r>
            <w:proofErr w:type="gramEnd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 Cas. B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No se declara DPO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No habrá garantías para trabar.</w:t>
            </w:r>
          </w:p>
        </w:tc>
      </w:tr>
    </w:tbl>
    <w:p w:rsidR="00C13B36" w:rsidRDefault="00C13B36" w:rsidP="00C13B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Rockwell" w:hAnsi="Rockwell" w:cs="Rockwell"/>
          <w:color w:val="000000"/>
          <w:sz w:val="20"/>
          <w:szCs w:val="20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ab/>
        <w:t xml:space="preserve">2.- Se declaran GRN en la Cas. B y se declaran DPO en la Cas. 44.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</w:p>
    <w:tbl>
      <w:tblPr>
        <w:tblW w:w="11947" w:type="dxa"/>
        <w:tblInd w:w="-1557" w:type="dxa"/>
        <w:tblLayout w:type="fixed"/>
        <w:tblLook w:val="00A0" w:firstRow="1" w:lastRow="0" w:firstColumn="1" w:lastColumn="0" w:noHBand="0" w:noVBand="0"/>
      </w:tblPr>
      <w:tblGrid>
        <w:gridCol w:w="5710"/>
        <w:gridCol w:w="6237"/>
      </w:tblGrid>
      <w:tr w:rsidR="00C13B36" w:rsidTr="00C13B36"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Número de GRN de la Cas. B es menor al </w:t>
            </w:r>
            <w:proofErr w:type="gramStart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número  de</w:t>
            </w:r>
            <w:proofErr w:type="gramEnd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 GRN obtenidos de las DPO de la Cas. 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Se dará error y no se admitirá la declaración aduanera. </w:t>
            </w:r>
          </w:p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</w:p>
        </w:tc>
      </w:tr>
      <w:tr w:rsidR="00C13B36" w:rsidTr="00C13B36"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Numero de GRN de la Cas. B es igual al número de GRN obtenidos de las DPO de la Cas. 44.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36" w:rsidRDefault="00C13B36" w:rsidP="00C1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ckwell" w:hAnsi="Rockwell" w:cs="Rockwell"/>
                <w:color w:val="000000"/>
                <w:sz w:val="20"/>
                <w:szCs w:val="20"/>
              </w:rPr>
            </w:pPr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Todos los GRN de la Cas. B </w:t>
            </w:r>
            <w:proofErr w:type="gramStart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>del dúa</w:t>
            </w:r>
            <w:proofErr w:type="gramEnd"/>
            <w:r>
              <w:rPr>
                <w:rFonts w:ascii="Rockwell" w:hAnsi="Rockwell" w:cs="Rockwell"/>
                <w:color w:val="000000"/>
                <w:sz w:val="20"/>
                <w:szCs w:val="20"/>
              </w:rPr>
              <w:t xml:space="preserve"> se han de encontrar en la lista de GRN derivados de las DPO. </w:t>
            </w:r>
          </w:p>
        </w:tc>
      </w:tr>
    </w:tbl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ab/>
        <w:t xml:space="preserve">3.- No se permitirá declarar garantías preCau si se declara DPO en la Cas. 44. </w:t>
      </w: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  <w:sz w:val="20"/>
          <w:szCs w:val="20"/>
        </w:rPr>
      </w:pPr>
    </w:p>
    <w:p w:rsidR="00C13B36" w:rsidRDefault="00C13B36" w:rsidP="00C13B36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b/>
          <w:bCs/>
          <w:color w:val="000000"/>
          <w:sz w:val="20"/>
          <w:szCs w:val="20"/>
          <w:u w:val="single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b) Una vez admitido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>el dúa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(con DPO declaradas) quedará Pendiente de Contracción (PC). </w:t>
      </w:r>
      <w:r>
        <w:rPr>
          <w:rFonts w:ascii="Rockwell" w:hAnsi="Rockwell" w:cs="Rockwell"/>
          <w:b/>
          <w:bCs/>
          <w:color w:val="000000"/>
          <w:sz w:val="20"/>
          <w:szCs w:val="20"/>
          <w:u w:val="single"/>
        </w:rPr>
        <w:t>Ésta se realizará al mes siguiente</w:t>
      </w:r>
    </w:p>
    <w:p w:rsidR="006867C2" w:rsidRDefault="006867C2" w:rsidP="00C13B36">
      <w:pPr>
        <w:jc w:val="both"/>
      </w:pPr>
    </w:p>
    <w:sectPr w:rsidR="006867C2" w:rsidSect="00AA2F5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36"/>
    <w:rsid w:val="006867C2"/>
    <w:rsid w:val="00C13B36"/>
    <w:rsid w:val="00D748C5"/>
    <w:rsid w:val="00F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5877-608B-4C7A-8A29-F6F67CF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Tributaria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AEAT</dc:creator>
  <cp:keywords/>
  <dc:description/>
  <cp:lastModifiedBy>Angels Figueroa</cp:lastModifiedBy>
  <cp:revision>2</cp:revision>
  <dcterms:created xsi:type="dcterms:W3CDTF">2019-07-09T07:18:00Z</dcterms:created>
  <dcterms:modified xsi:type="dcterms:W3CDTF">2019-07-09T07:18:00Z</dcterms:modified>
</cp:coreProperties>
</file>