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E8594F" w:rsidRPr="00E8594F" w:rsidTr="00D353EC">
        <w:trPr>
          <w:trHeight w:val="1440"/>
        </w:trPr>
        <w:tc>
          <w:tcPr>
            <w:tcW w:w="2381" w:type="dxa"/>
            <w:tcBorders>
              <w:top w:val="nil"/>
              <w:left w:val="nil"/>
              <w:bottom w:val="nil"/>
              <w:right w:val="nil"/>
            </w:tcBorders>
          </w:tcPr>
          <w:p w:rsidR="00E8594F" w:rsidRPr="00E8594F" w:rsidRDefault="00E8594F" w:rsidP="00E8594F">
            <w:pPr>
              <w:widowControl w:val="0"/>
              <w:autoSpaceDE w:val="0"/>
              <w:autoSpaceDN w:val="0"/>
              <w:spacing w:after="0" w:line="240" w:lineRule="auto"/>
              <w:ind w:right="85"/>
              <w:jc w:val="both"/>
              <w:rPr>
                <w:rFonts w:ascii="Arial" w:eastAsiaTheme="minorEastAsia" w:hAnsi="Arial" w:cs="Arial"/>
                <w:sz w:val="24"/>
                <w:szCs w:val="24"/>
                <w:lang w:eastAsia="en-GB"/>
              </w:rPr>
            </w:pPr>
            <w:bookmarkStart w:id="0" w:name="_GoBack"/>
            <w:bookmarkEnd w:id="0"/>
            <w:r>
              <w:rPr>
                <w:rFonts w:ascii="Arial" w:eastAsiaTheme="minorEastAsia" w:hAnsi="Arial" w:cs="Arial"/>
                <w:noProof/>
                <w:sz w:val="20"/>
                <w:szCs w:val="20"/>
                <w:lang w:val="es-ES" w:eastAsia="es-ES"/>
              </w:rPr>
              <w:drawing>
                <wp:inline distT="0" distB="0" distL="0" distR="0" wp14:anchorId="23BA8AD3" wp14:editId="466C733B">
                  <wp:extent cx="1367790" cy="6756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790" cy="675640"/>
                          </a:xfrm>
                          <a:prstGeom prst="rect">
                            <a:avLst/>
                          </a:prstGeom>
                          <a:noFill/>
                          <a:ln>
                            <a:noFill/>
                          </a:ln>
                        </pic:spPr>
                      </pic:pic>
                    </a:graphicData>
                  </a:graphic>
                </wp:inline>
              </w:drawing>
            </w:r>
          </w:p>
        </w:tc>
        <w:tc>
          <w:tcPr>
            <w:tcW w:w="7087" w:type="dxa"/>
            <w:tcBorders>
              <w:top w:val="nil"/>
              <w:left w:val="nil"/>
              <w:bottom w:val="nil"/>
              <w:right w:val="nil"/>
            </w:tcBorders>
          </w:tcPr>
          <w:p w:rsidR="00E8594F" w:rsidRPr="00E8594F" w:rsidRDefault="00E8594F" w:rsidP="00E8594F">
            <w:pPr>
              <w:widowControl w:val="0"/>
              <w:autoSpaceDE w:val="0"/>
              <w:autoSpaceDN w:val="0"/>
              <w:spacing w:before="90" w:after="0" w:line="240" w:lineRule="auto"/>
              <w:ind w:right="85"/>
              <w:jc w:val="both"/>
              <w:rPr>
                <w:rFonts w:ascii="Arial" w:eastAsiaTheme="minorEastAsia" w:hAnsi="Arial" w:cs="Arial"/>
                <w:sz w:val="24"/>
                <w:szCs w:val="24"/>
                <w:lang w:eastAsia="en-GB"/>
              </w:rPr>
            </w:pPr>
            <w:r w:rsidRPr="00E8594F">
              <w:rPr>
                <w:rFonts w:ascii="Arial" w:eastAsiaTheme="minorEastAsia" w:hAnsi="Arial" w:cs="Arial"/>
                <w:sz w:val="24"/>
                <w:szCs w:val="24"/>
                <w:lang w:eastAsia="en-GB"/>
              </w:rPr>
              <w:t>EUROPEAN COMMISSION</w:t>
            </w:r>
          </w:p>
          <w:p w:rsidR="00E8594F" w:rsidRPr="00E8594F" w:rsidRDefault="00E8594F" w:rsidP="00E8594F">
            <w:pPr>
              <w:widowControl w:val="0"/>
              <w:autoSpaceDE w:val="0"/>
              <w:autoSpaceDN w:val="0"/>
              <w:spacing w:after="0" w:line="240" w:lineRule="auto"/>
              <w:ind w:right="85"/>
              <w:rPr>
                <w:rFonts w:ascii="Arial" w:eastAsiaTheme="minorEastAsia" w:hAnsi="Arial" w:cs="Arial"/>
                <w:sz w:val="16"/>
                <w:szCs w:val="16"/>
                <w:lang w:eastAsia="en-GB"/>
              </w:rPr>
            </w:pPr>
            <w:r w:rsidRPr="00E8594F">
              <w:rPr>
                <w:rFonts w:ascii="Arial" w:eastAsiaTheme="minorEastAsia" w:hAnsi="Arial" w:cs="Arial"/>
                <w:sz w:val="16"/>
                <w:szCs w:val="16"/>
                <w:lang w:eastAsia="en-GB"/>
              </w:rPr>
              <w:t>DIRECTORATE-GENERAL</w:t>
            </w:r>
          </w:p>
          <w:p w:rsidR="00E8594F" w:rsidRPr="00E8594F" w:rsidRDefault="00E8594F" w:rsidP="00E8594F">
            <w:pPr>
              <w:widowControl w:val="0"/>
              <w:autoSpaceDE w:val="0"/>
              <w:autoSpaceDN w:val="0"/>
              <w:spacing w:after="0" w:line="240" w:lineRule="auto"/>
              <w:ind w:right="85"/>
              <w:rPr>
                <w:rFonts w:ascii="Arial" w:eastAsiaTheme="minorEastAsia" w:hAnsi="Arial" w:cs="Arial"/>
                <w:sz w:val="16"/>
                <w:szCs w:val="16"/>
                <w:lang w:eastAsia="en-GB"/>
              </w:rPr>
            </w:pPr>
            <w:r w:rsidRPr="00E8594F">
              <w:rPr>
                <w:rFonts w:ascii="Arial" w:eastAsiaTheme="minorEastAsia" w:hAnsi="Arial" w:cs="Arial"/>
                <w:sz w:val="16"/>
                <w:szCs w:val="16"/>
                <w:lang w:eastAsia="en-GB"/>
              </w:rPr>
              <w:t>TAXATION AND CUSTOMS UNION</w:t>
            </w:r>
          </w:p>
          <w:p w:rsidR="00E8594F" w:rsidRPr="00E8594F" w:rsidRDefault="00E8594F" w:rsidP="00E8594F">
            <w:pPr>
              <w:widowControl w:val="0"/>
              <w:autoSpaceDE w:val="0"/>
              <w:autoSpaceDN w:val="0"/>
              <w:spacing w:after="0" w:line="240" w:lineRule="auto"/>
              <w:ind w:right="85"/>
              <w:rPr>
                <w:rFonts w:ascii="Arial" w:eastAsiaTheme="minorEastAsia" w:hAnsi="Arial" w:cs="Arial"/>
                <w:sz w:val="16"/>
                <w:szCs w:val="16"/>
                <w:lang w:eastAsia="en-GB"/>
              </w:rPr>
            </w:pPr>
            <w:r w:rsidRPr="00E8594F">
              <w:rPr>
                <w:rFonts w:ascii="Arial" w:eastAsiaTheme="minorEastAsia" w:hAnsi="Arial" w:cs="Arial"/>
                <w:sz w:val="16"/>
                <w:szCs w:val="16"/>
                <w:lang w:eastAsia="en-GB"/>
              </w:rPr>
              <w:t>Customs Policy, Legislation, Tariff</w:t>
            </w:r>
          </w:p>
          <w:p w:rsidR="00E8594F" w:rsidRPr="00E8594F" w:rsidRDefault="00E8594F" w:rsidP="00E8594F">
            <w:pPr>
              <w:widowControl w:val="0"/>
              <w:autoSpaceDE w:val="0"/>
              <w:autoSpaceDN w:val="0"/>
              <w:spacing w:after="0" w:line="240" w:lineRule="auto"/>
              <w:ind w:right="85"/>
              <w:rPr>
                <w:rFonts w:ascii="Arial" w:eastAsiaTheme="minorEastAsia" w:hAnsi="Arial" w:cs="Arial"/>
                <w:sz w:val="16"/>
                <w:szCs w:val="16"/>
                <w:lang w:eastAsia="en-GB"/>
              </w:rPr>
            </w:pPr>
            <w:r w:rsidRPr="00E8594F">
              <w:rPr>
                <w:rFonts w:ascii="Arial" w:eastAsiaTheme="minorEastAsia" w:hAnsi="Arial" w:cs="Arial"/>
                <w:b/>
                <w:bCs/>
                <w:sz w:val="16"/>
                <w:szCs w:val="16"/>
                <w:lang w:eastAsia="en-GB"/>
              </w:rPr>
              <w:t>Customs Legislation</w:t>
            </w:r>
          </w:p>
          <w:p w:rsidR="00E8594F" w:rsidRPr="00E8594F" w:rsidRDefault="00E8594F" w:rsidP="00E8594F">
            <w:pPr>
              <w:widowControl w:val="0"/>
              <w:autoSpaceDE w:val="0"/>
              <w:autoSpaceDN w:val="0"/>
              <w:spacing w:after="0" w:line="240" w:lineRule="auto"/>
              <w:ind w:right="85"/>
              <w:rPr>
                <w:rFonts w:ascii="Arial" w:eastAsiaTheme="minorEastAsia" w:hAnsi="Arial" w:cs="Arial"/>
                <w:sz w:val="16"/>
                <w:szCs w:val="16"/>
                <w:lang w:eastAsia="en-GB"/>
              </w:rPr>
            </w:pPr>
          </w:p>
        </w:tc>
      </w:tr>
    </w:tbl>
    <w:p w:rsidR="00E8594F" w:rsidRPr="00E8594F" w:rsidRDefault="00E8594F" w:rsidP="00E8594F">
      <w:pPr>
        <w:spacing w:after="0" w:line="240" w:lineRule="auto"/>
        <w:ind w:left="5103"/>
        <w:rPr>
          <w:rFonts w:eastAsia="Times New Roman" w:cs="Times New Roman"/>
          <w:b/>
          <w:sz w:val="24"/>
          <w:szCs w:val="24"/>
        </w:rPr>
      </w:pPr>
      <w:r w:rsidRPr="00E8594F">
        <w:rPr>
          <w:rFonts w:eastAsia="Times New Roman" w:cs="Times New Roman"/>
          <w:b/>
          <w:sz w:val="24"/>
          <w:szCs w:val="24"/>
        </w:rPr>
        <w:t>Brussels, 1</w:t>
      </w:r>
      <w:r w:rsidR="00DE21EB">
        <w:rPr>
          <w:rFonts w:eastAsia="Times New Roman" w:cs="Times New Roman"/>
          <w:b/>
          <w:sz w:val="24"/>
          <w:szCs w:val="24"/>
        </w:rPr>
        <w:t>7</w:t>
      </w:r>
      <w:r w:rsidRPr="00E8594F">
        <w:rPr>
          <w:rFonts w:eastAsia="Times New Roman" w:cs="Times New Roman"/>
          <w:b/>
          <w:sz w:val="24"/>
          <w:szCs w:val="24"/>
        </w:rPr>
        <w:t xml:space="preserve"> April 2018</w:t>
      </w:r>
    </w:p>
    <w:p w:rsidR="00E8594F" w:rsidRPr="00E8594F" w:rsidRDefault="00E8594F" w:rsidP="00E8594F">
      <w:pPr>
        <w:spacing w:after="0" w:line="240" w:lineRule="auto"/>
        <w:ind w:left="5103"/>
        <w:rPr>
          <w:rFonts w:eastAsia="Times New Roman" w:cs="Times New Roman"/>
          <w:sz w:val="20"/>
          <w:szCs w:val="20"/>
        </w:rPr>
      </w:pPr>
      <w:r w:rsidRPr="00E8594F">
        <w:rPr>
          <w:rFonts w:eastAsia="Times New Roman" w:cs="Times New Roman"/>
          <w:sz w:val="20"/>
          <w:szCs w:val="20"/>
        </w:rPr>
        <w:t>TAXUD/A2</w:t>
      </w:r>
      <w:proofErr w:type="gramStart"/>
      <w:r w:rsidRPr="00E8594F">
        <w:rPr>
          <w:rFonts w:eastAsia="Times New Roman" w:cs="Times New Roman"/>
          <w:sz w:val="20"/>
          <w:szCs w:val="20"/>
        </w:rPr>
        <w:t>/(</w:t>
      </w:r>
      <w:proofErr w:type="gramEnd"/>
      <w:r w:rsidRPr="00E8594F">
        <w:rPr>
          <w:rFonts w:eastAsia="Times New Roman" w:cs="Times New Roman"/>
          <w:sz w:val="20"/>
          <w:szCs w:val="20"/>
        </w:rPr>
        <w:t>2018)</w:t>
      </w:r>
      <w:r w:rsidR="000E77EF" w:rsidRPr="000E77EF">
        <w:rPr>
          <w:rFonts w:eastAsia="Times New Roman" w:cs="Times New Roman"/>
          <w:sz w:val="20"/>
          <w:szCs w:val="20"/>
        </w:rPr>
        <w:t>2360133</w:t>
      </w:r>
    </w:p>
    <w:p w:rsidR="00E8594F" w:rsidRPr="00E8594F" w:rsidRDefault="00E8594F" w:rsidP="00E8594F">
      <w:pPr>
        <w:spacing w:after="0" w:line="240" w:lineRule="auto"/>
        <w:ind w:right="-567"/>
        <w:rPr>
          <w:rFonts w:eastAsia="Times New Roman" w:cs="Times New Roman"/>
          <w:sz w:val="24"/>
          <w:szCs w:val="20"/>
        </w:rPr>
      </w:pPr>
    </w:p>
    <w:p w:rsidR="00E8594F" w:rsidRPr="00E8594F" w:rsidRDefault="00E8594F" w:rsidP="00E8594F">
      <w:pPr>
        <w:spacing w:after="0" w:line="240" w:lineRule="auto"/>
        <w:ind w:left="5103" w:right="-567"/>
        <w:rPr>
          <w:rFonts w:eastAsia="Times New Roman" w:cs="Times New Roman"/>
          <w:sz w:val="24"/>
          <w:szCs w:val="24"/>
        </w:rPr>
      </w:pPr>
      <w:r w:rsidRPr="00E8594F">
        <w:rPr>
          <w:rFonts w:eastAsia="Times New Roman" w:cs="Times New Roman"/>
          <w:sz w:val="24"/>
          <w:szCs w:val="24"/>
        </w:rPr>
        <w:t>Working paper</w:t>
      </w:r>
    </w:p>
    <w:p w:rsidR="00E8594F" w:rsidRPr="00E8594F" w:rsidRDefault="00E8594F" w:rsidP="00E8594F">
      <w:pPr>
        <w:spacing w:after="240" w:line="240" w:lineRule="auto"/>
        <w:jc w:val="both"/>
        <w:rPr>
          <w:rFonts w:eastAsia="Times New Roman" w:cs="Times New Roman"/>
          <w:sz w:val="24"/>
          <w:szCs w:val="20"/>
        </w:rPr>
      </w:pPr>
    </w:p>
    <w:p w:rsidR="00E8594F" w:rsidRPr="00E8594F" w:rsidRDefault="00E8594F" w:rsidP="00E8594F">
      <w:pPr>
        <w:spacing w:after="240" w:line="240" w:lineRule="auto"/>
        <w:jc w:val="both"/>
        <w:rPr>
          <w:rFonts w:eastAsia="Times New Roman" w:cs="Times New Roman"/>
          <w:sz w:val="24"/>
          <w:szCs w:val="20"/>
        </w:rPr>
      </w:pPr>
    </w:p>
    <w:p w:rsidR="00E8594F" w:rsidRPr="00E8594F" w:rsidRDefault="00E8594F" w:rsidP="00E8594F">
      <w:pPr>
        <w:spacing w:after="240" w:line="240" w:lineRule="auto"/>
        <w:jc w:val="both"/>
        <w:rPr>
          <w:rFonts w:eastAsia="Times New Roman" w:cs="Times New Roman"/>
          <w:sz w:val="24"/>
          <w:szCs w:val="20"/>
        </w:rPr>
      </w:pPr>
    </w:p>
    <w:p w:rsidR="00E8594F" w:rsidRPr="00E8594F" w:rsidRDefault="00E8594F" w:rsidP="00E8594F">
      <w:pPr>
        <w:spacing w:after="240" w:line="360" w:lineRule="auto"/>
        <w:jc w:val="both"/>
        <w:rPr>
          <w:rFonts w:eastAsia="Times New Roman" w:cs="Times New Roman"/>
          <w:sz w:val="24"/>
          <w:szCs w:val="20"/>
        </w:rPr>
      </w:pPr>
    </w:p>
    <w:p w:rsidR="00E8594F" w:rsidRPr="00E8594F" w:rsidRDefault="00E8594F" w:rsidP="00E8594F">
      <w:pPr>
        <w:spacing w:after="240" w:line="360" w:lineRule="auto"/>
        <w:jc w:val="center"/>
        <w:rPr>
          <w:rFonts w:eastAsia="Times New Roman" w:cs="Times New Roman"/>
          <w:b/>
          <w:sz w:val="24"/>
          <w:szCs w:val="20"/>
        </w:rPr>
      </w:pPr>
      <w:r w:rsidRPr="00E8594F">
        <w:rPr>
          <w:rFonts w:eastAsia="Times New Roman" w:cs="Times New Roman"/>
          <w:b/>
          <w:sz w:val="24"/>
          <w:szCs w:val="20"/>
        </w:rPr>
        <w:t>NOTE FOR THE ATTENTION OF DELEGATES TO THE CUSTOMS EXPERT GROUP –GENERAL CUSTOMS LEGISLATION SECTION</w:t>
      </w:r>
    </w:p>
    <w:p w:rsidR="00E8594F" w:rsidRPr="00E8594F" w:rsidRDefault="00E8594F" w:rsidP="00E8594F">
      <w:pPr>
        <w:spacing w:before="120" w:after="120" w:line="360" w:lineRule="auto"/>
        <w:jc w:val="center"/>
        <w:rPr>
          <w:rFonts w:eastAsia="Times New Roman" w:cs="Times New Roman"/>
          <w:b/>
          <w:sz w:val="24"/>
          <w:szCs w:val="20"/>
        </w:rPr>
      </w:pPr>
    </w:p>
    <w:p w:rsidR="00E8594F" w:rsidRPr="00E8594F" w:rsidRDefault="00E8594F" w:rsidP="00E8594F">
      <w:pPr>
        <w:spacing w:after="240" w:line="360" w:lineRule="auto"/>
        <w:jc w:val="center"/>
        <w:rPr>
          <w:rFonts w:eastAsia="Times New Roman" w:cs="Times New Roman"/>
          <w:sz w:val="24"/>
          <w:szCs w:val="20"/>
        </w:rPr>
      </w:pPr>
      <w:r>
        <w:rPr>
          <w:rFonts w:eastAsia="Times New Roman" w:cs="Times New Roman"/>
          <w:b/>
          <w:sz w:val="24"/>
          <w:szCs w:val="20"/>
        </w:rPr>
        <w:t>R</w:t>
      </w:r>
      <w:r w:rsidRPr="00E8594F">
        <w:rPr>
          <w:rFonts w:eastAsia="Times New Roman" w:cs="Times New Roman"/>
          <w:b/>
          <w:sz w:val="24"/>
          <w:szCs w:val="20"/>
        </w:rPr>
        <w:t xml:space="preserve">e-assessment of authorisations already in force on 1 May 2016 (Article 250 DA) </w:t>
      </w:r>
    </w:p>
    <w:p w:rsidR="00E8594F" w:rsidRPr="00E8594F" w:rsidRDefault="00E8594F" w:rsidP="00E8594F">
      <w:pPr>
        <w:spacing w:after="0" w:line="240" w:lineRule="auto"/>
        <w:rPr>
          <w:rFonts w:eastAsia="Times New Roman" w:cs="Times New Roman"/>
          <w:sz w:val="24"/>
          <w:szCs w:val="20"/>
        </w:rPr>
      </w:pPr>
      <w:r w:rsidRPr="00E8594F">
        <w:rPr>
          <w:rFonts w:eastAsia="Times New Roman" w:cs="Times New Roman"/>
          <w:sz w:val="24"/>
          <w:szCs w:val="20"/>
        </w:rPr>
        <w:br w:type="page"/>
      </w:r>
    </w:p>
    <w:p w:rsidR="00E8594F" w:rsidRPr="00E8594F" w:rsidRDefault="00E8594F" w:rsidP="00E8594F">
      <w:pPr>
        <w:spacing w:after="240" w:line="240" w:lineRule="auto"/>
        <w:jc w:val="both"/>
        <w:rPr>
          <w:rFonts w:eastAsia="Times New Roman" w:cs="Times New Roman"/>
          <w:b/>
          <w:sz w:val="24"/>
          <w:szCs w:val="20"/>
        </w:rPr>
      </w:pPr>
      <w:r w:rsidRPr="00E8594F">
        <w:rPr>
          <w:rFonts w:eastAsia="Times New Roman" w:cs="Times New Roman"/>
          <w:b/>
          <w:sz w:val="24"/>
          <w:szCs w:val="20"/>
        </w:rPr>
        <w:lastRenderedPageBreak/>
        <w:t>INTRODUCTION</w:t>
      </w:r>
    </w:p>
    <w:p w:rsidR="00E8594F" w:rsidRPr="00E8594F" w:rsidRDefault="00E8594F" w:rsidP="00C9181A">
      <w:pPr>
        <w:spacing w:after="240"/>
        <w:jc w:val="both"/>
        <w:rPr>
          <w:rFonts w:eastAsia="Times New Roman" w:cs="Times New Roman"/>
          <w:sz w:val="24"/>
          <w:szCs w:val="20"/>
        </w:rPr>
      </w:pPr>
      <w:r w:rsidRPr="00E8594F">
        <w:rPr>
          <w:rFonts w:eastAsia="Times New Roman" w:cs="Times New Roman"/>
          <w:sz w:val="24"/>
          <w:szCs w:val="20"/>
        </w:rPr>
        <w:t xml:space="preserve">This </w:t>
      </w:r>
      <w:r>
        <w:rPr>
          <w:rFonts w:eastAsia="Times New Roman" w:cs="Times New Roman"/>
          <w:sz w:val="24"/>
          <w:szCs w:val="20"/>
        </w:rPr>
        <w:t>note</w:t>
      </w:r>
      <w:r w:rsidRPr="00E8594F">
        <w:rPr>
          <w:rFonts w:eastAsia="Times New Roman" w:cs="Times New Roman"/>
          <w:sz w:val="24"/>
          <w:szCs w:val="20"/>
        </w:rPr>
        <w:t xml:space="preserve"> aims to </w:t>
      </w:r>
      <w:r w:rsidR="00FC4B9C">
        <w:rPr>
          <w:rFonts w:eastAsia="Times New Roman" w:cs="Times New Roman"/>
          <w:sz w:val="24"/>
          <w:szCs w:val="20"/>
        </w:rPr>
        <w:t xml:space="preserve">provide some information on </w:t>
      </w:r>
      <w:r>
        <w:rPr>
          <w:rFonts w:eastAsia="Times New Roman" w:cs="Times New Roman"/>
          <w:sz w:val="24"/>
          <w:szCs w:val="20"/>
        </w:rPr>
        <w:t xml:space="preserve">the obligation </w:t>
      </w:r>
      <w:r w:rsidR="00FC4B9C">
        <w:rPr>
          <w:rFonts w:eastAsia="Times New Roman" w:cs="Times New Roman"/>
          <w:sz w:val="24"/>
          <w:szCs w:val="20"/>
        </w:rPr>
        <w:t xml:space="preserve">that Member States have </w:t>
      </w:r>
      <w:r>
        <w:rPr>
          <w:rFonts w:eastAsia="Times New Roman" w:cs="Times New Roman"/>
          <w:sz w:val="24"/>
          <w:szCs w:val="20"/>
        </w:rPr>
        <w:t xml:space="preserve">to re-assess </w:t>
      </w:r>
      <w:r w:rsidR="00FC4B9C">
        <w:rPr>
          <w:rFonts w:eastAsia="Times New Roman" w:cs="Times New Roman"/>
          <w:sz w:val="24"/>
          <w:szCs w:val="20"/>
        </w:rPr>
        <w:t xml:space="preserve">by 1 May 2019 </w:t>
      </w:r>
      <w:r>
        <w:rPr>
          <w:rFonts w:eastAsia="Times New Roman" w:cs="Times New Roman"/>
          <w:sz w:val="24"/>
          <w:szCs w:val="20"/>
        </w:rPr>
        <w:t xml:space="preserve">the authorisations granted under the Community </w:t>
      </w:r>
      <w:r w:rsidRPr="00E8594F">
        <w:rPr>
          <w:rFonts w:cs="Times New Roman"/>
          <w:sz w:val="24"/>
          <w:szCs w:val="24"/>
        </w:rPr>
        <w:t>Custom Code (Regulation 2913/92)</w:t>
      </w:r>
      <w:r w:rsidRPr="00E8594F">
        <w:rPr>
          <w:rFonts w:cs="Times New Roman"/>
          <w:sz w:val="24"/>
          <w:szCs w:val="24"/>
          <w:vertAlign w:val="superscript"/>
        </w:rPr>
        <w:footnoteReference w:id="1"/>
      </w:r>
      <w:r w:rsidRPr="00E8594F">
        <w:rPr>
          <w:rFonts w:eastAsia="Times New Roman" w:cs="Times New Roman"/>
          <w:sz w:val="24"/>
          <w:szCs w:val="20"/>
        </w:rPr>
        <w:t xml:space="preserve"> </w:t>
      </w:r>
      <w:r w:rsidRPr="00E8594F">
        <w:rPr>
          <w:rFonts w:cs="Times New Roman"/>
          <w:sz w:val="24"/>
          <w:szCs w:val="24"/>
        </w:rPr>
        <w:t>and its implementing provisions (Regulation 2454/93)</w:t>
      </w:r>
      <w:r w:rsidRPr="00E8594F">
        <w:rPr>
          <w:rFonts w:cs="Times New Roman"/>
          <w:sz w:val="24"/>
          <w:szCs w:val="24"/>
          <w:vertAlign w:val="superscript"/>
        </w:rPr>
        <w:footnoteReference w:id="2"/>
      </w:r>
      <w:r w:rsidRPr="00E8594F">
        <w:rPr>
          <w:rFonts w:eastAsia="Times New Roman" w:cs="Times New Roman"/>
          <w:sz w:val="24"/>
          <w:szCs w:val="20"/>
        </w:rPr>
        <w:t xml:space="preserve">. </w:t>
      </w:r>
    </w:p>
    <w:p w:rsidR="00E8594F" w:rsidRDefault="00E8594F" w:rsidP="00C9181A">
      <w:pPr>
        <w:spacing w:after="0"/>
        <w:jc w:val="both"/>
        <w:rPr>
          <w:rFonts w:eastAsia="Times New Roman" w:cs="Times New Roman"/>
          <w:sz w:val="24"/>
          <w:szCs w:val="20"/>
        </w:rPr>
      </w:pPr>
      <w:r>
        <w:rPr>
          <w:rFonts w:eastAsia="Times New Roman" w:cs="Times New Roman"/>
          <w:sz w:val="24"/>
          <w:szCs w:val="20"/>
        </w:rPr>
        <w:t>A discussion on this topic will take place</w:t>
      </w:r>
      <w:r w:rsidRPr="00E8594F">
        <w:rPr>
          <w:rFonts w:eastAsia="Times New Roman" w:cs="Times New Roman"/>
          <w:sz w:val="24"/>
          <w:szCs w:val="20"/>
        </w:rPr>
        <w:t xml:space="preserve"> at the Customs Expert Group – </w:t>
      </w:r>
      <w:r w:rsidRPr="00E8594F">
        <w:rPr>
          <w:rFonts w:eastAsia="Times New Roman" w:cs="Times New Roman"/>
          <w:sz w:val="24"/>
        </w:rPr>
        <w:t>General Legislation Section</w:t>
      </w:r>
      <w:r w:rsidRPr="00E8594F">
        <w:rPr>
          <w:rFonts w:eastAsia="Times New Roman" w:cs="Times New Roman"/>
          <w:sz w:val="24"/>
          <w:szCs w:val="20"/>
        </w:rPr>
        <w:t xml:space="preserve"> </w:t>
      </w:r>
      <w:r>
        <w:rPr>
          <w:rFonts w:eastAsia="Times New Roman" w:cs="Times New Roman"/>
          <w:sz w:val="24"/>
          <w:szCs w:val="20"/>
        </w:rPr>
        <w:t xml:space="preserve">meeting on </w:t>
      </w:r>
      <w:r w:rsidRPr="00E8594F">
        <w:rPr>
          <w:rFonts w:eastAsia="Times New Roman" w:cs="Times New Roman"/>
          <w:sz w:val="24"/>
          <w:szCs w:val="20"/>
        </w:rPr>
        <w:t>27 April 2018.</w:t>
      </w:r>
    </w:p>
    <w:p w:rsidR="00D75C9B" w:rsidRPr="00E8594F" w:rsidRDefault="00D75C9B" w:rsidP="00C9181A">
      <w:pPr>
        <w:spacing w:after="0"/>
        <w:jc w:val="both"/>
        <w:rPr>
          <w:rFonts w:eastAsia="Times New Roman" w:cs="Times New Roman"/>
          <w:sz w:val="24"/>
          <w:szCs w:val="20"/>
        </w:rPr>
      </w:pPr>
    </w:p>
    <w:p w:rsidR="00E8594F" w:rsidRPr="00E8594F" w:rsidRDefault="00E8594F" w:rsidP="00E8594F">
      <w:pPr>
        <w:spacing w:after="240" w:line="240" w:lineRule="auto"/>
        <w:jc w:val="both"/>
        <w:rPr>
          <w:rFonts w:eastAsia="Times New Roman" w:cs="Times New Roman"/>
          <w:b/>
          <w:sz w:val="24"/>
          <w:szCs w:val="20"/>
        </w:rPr>
      </w:pPr>
      <w:r w:rsidRPr="00E8594F">
        <w:rPr>
          <w:rFonts w:eastAsia="Times New Roman" w:cs="Times New Roman"/>
          <w:b/>
          <w:sz w:val="24"/>
          <w:szCs w:val="20"/>
        </w:rPr>
        <w:t>Re-assessment of the authorisation</w:t>
      </w:r>
      <w:r w:rsidR="006D34AE">
        <w:rPr>
          <w:rFonts w:eastAsia="Times New Roman" w:cs="Times New Roman"/>
          <w:b/>
          <w:sz w:val="24"/>
          <w:szCs w:val="20"/>
        </w:rPr>
        <w:t>s</w:t>
      </w:r>
      <w:r w:rsidRPr="00E8594F">
        <w:rPr>
          <w:rFonts w:cs="Times New Roman"/>
          <w:b/>
          <w:sz w:val="24"/>
          <w:szCs w:val="24"/>
        </w:rPr>
        <w:t xml:space="preserve"> and the criteria related to its granting</w:t>
      </w:r>
    </w:p>
    <w:p w:rsidR="00E8594F" w:rsidRDefault="00E8594F" w:rsidP="00F57465">
      <w:pPr>
        <w:spacing w:after="120"/>
        <w:jc w:val="both"/>
        <w:rPr>
          <w:rFonts w:cs="Times New Roman"/>
          <w:sz w:val="24"/>
          <w:szCs w:val="24"/>
        </w:rPr>
      </w:pPr>
      <w:r w:rsidRPr="00E8594F">
        <w:rPr>
          <w:rFonts w:cs="Times New Roman"/>
          <w:sz w:val="24"/>
          <w:szCs w:val="24"/>
        </w:rPr>
        <w:t>In principle</w:t>
      </w:r>
      <w:r w:rsidRPr="00E8594F">
        <w:rPr>
          <w:rFonts w:cs="Times New Roman"/>
          <w:sz w:val="24"/>
          <w:szCs w:val="24"/>
          <w:vertAlign w:val="superscript"/>
        </w:rPr>
        <w:footnoteReference w:id="3"/>
      </w:r>
      <w:r w:rsidRPr="00E8594F">
        <w:rPr>
          <w:rFonts w:cs="Times New Roman"/>
          <w:sz w:val="24"/>
          <w:szCs w:val="24"/>
        </w:rPr>
        <w:t>, the authorisations</w:t>
      </w:r>
      <w:r w:rsidR="00976082" w:rsidRPr="00976082">
        <w:rPr>
          <w:rFonts w:cs="Times New Roman"/>
          <w:sz w:val="24"/>
          <w:szCs w:val="24"/>
        </w:rPr>
        <w:t xml:space="preserve"> </w:t>
      </w:r>
      <w:r w:rsidR="00976082" w:rsidRPr="00E8594F">
        <w:rPr>
          <w:rFonts w:cs="Times New Roman"/>
          <w:sz w:val="24"/>
          <w:szCs w:val="24"/>
        </w:rPr>
        <w:t xml:space="preserve">granted on the basis of the </w:t>
      </w:r>
      <w:r w:rsidR="00976082">
        <w:rPr>
          <w:rFonts w:cs="Times New Roman"/>
          <w:sz w:val="24"/>
          <w:szCs w:val="24"/>
        </w:rPr>
        <w:t>Community</w:t>
      </w:r>
      <w:r w:rsidR="00976082" w:rsidRPr="00E8594F">
        <w:rPr>
          <w:rFonts w:cs="Times New Roman"/>
          <w:sz w:val="24"/>
          <w:szCs w:val="24"/>
        </w:rPr>
        <w:t xml:space="preserve"> Custom Code </w:t>
      </w:r>
      <w:r w:rsidR="00976082">
        <w:rPr>
          <w:rFonts w:cs="Times New Roman"/>
          <w:sz w:val="24"/>
          <w:szCs w:val="24"/>
        </w:rPr>
        <w:t>and its implementing provisions</w:t>
      </w:r>
      <w:r w:rsidRPr="00E8594F">
        <w:rPr>
          <w:rFonts w:cs="Times New Roman"/>
          <w:sz w:val="24"/>
          <w:szCs w:val="24"/>
        </w:rPr>
        <w:t xml:space="preserve">, </w:t>
      </w:r>
      <w:r w:rsidR="00FC4B9C">
        <w:rPr>
          <w:rFonts w:cs="Times New Roman"/>
          <w:sz w:val="24"/>
          <w:szCs w:val="24"/>
        </w:rPr>
        <w:t xml:space="preserve">must be re-assessed </w:t>
      </w:r>
      <w:r w:rsidRPr="00E8594F">
        <w:rPr>
          <w:rFonts w:cs="Times New Roman"/>
          <w:sz w:val="24"/>
          <w:szCs w:val="24"/>
        </w:rPr>
        <w:t xml:space="preserve">according </w:t>
      </w:r>
      <w:r w:rsidR="00294F4C">
        <w:rPr>
          <w:rFonts w:cs="Times New Roman"/>
          <w:sz w:val="24"/>
          <w:szCs w:val="24"/>
        </w:rPr>
        <w:t>to</w:t>
      </w:r>
      <w:r w:rsidR="00294F4C" w:rsidRPr="00E8594F">
        <w:rPr>
          <w:rFonts w:cs="Times New Roman"/>
          <w:sz w:val="24"/>
          <w:szCs w:val="24"/>
        </w:rPr>
        <w:t xml:space="preserve"> the criteria </w:t>
      </w:r>
      <w:r w:rsidR="00294F4C">
        <w:rPr>
          <w:rFonts w:cs="Times New Roman"/>
          <w:sz w:val="24"/>
          <w:szCs w:val="24"/>
        </w:rPr>
        <w:t>of the</w:t>
      </w:r>
      <w:r w:rsidRPr="00E8594F">
        <w:rPr>
          <w:rFonts w:cs="Times New Roman"/>
          <w:sz w:val="24"/>
          <w:szCs w:val="24"/>
        </w:rPr>
        <w:t xml:space="preserve"> UCC/DA/IA </w:t>
      </w:r>
      <w:r w:rsidR="00976082">
        <w:rPr>
          <w:rFonts w:cs="Times New Roman"/>
          <w:sz w:val="24"/>
          <w:szCs w:val="24"/>
        </w:rPr>
        <w:t xml:space="preserve">by 1 May 2019 </w:t>
      </w:r>
      <w:r w:rsidR="00294F4C">
        <w:rPr>
          <w:rFonts w:cs="Times New Roman"/>
          <w:sz w:val="24"/>
          <w:szCs w:val="24"/>
        </w:rPr>
        <w:t>[</w:t>
      </w:r>
      <w:r w:rsidR="00976082">
        <w:rPr>
          <w:rFonts w:cs="Times New Roman"/>
          <w:sz w:val="24"/>
          <w:szCs w:val="24"/>
        </w:rPr>
        <w:t>Article</w:t>
      </w:r>
      <w:r w:rsidRPr="00E8594F">
        <w:rPr>
          <w:rFonts w:cs="Times New Roman"/>
          <w:sz w:val="24"/>
          <w:szCs w:val="24"/>
        </w:rPr>
        <w:t xml:space="preserve"> 250(1) DA</w:t>
      </w:r>
      <w:r w:rsidRPr="00E8594F">
        <w:rPr>
          <w:rFonts w:cs="Times New Roman"/>
          <w:sz w:val="24"/>
          <w:szCs w:val="24"/>
          <w:vertAlign w:val="superscript"/>
        </w:rPr>
        <w:footnoteReference w:id="4"/>
      </w:r>
      <w:r w:rsidRPr="00E8594F">
        <w:rPr>
          <w:rFonts w:cs="Times New Roman"/>
          <w:sz w:val="24"/>
          <w:szCs w:val="24"/>
        </w:rPr>
        <w:t xml:space="preserve"> read together with Article 345(1) IA</w:t>
      </w:r>
      <w:r w:rsidRPr="00E8594F">
        <w:rPr>
          <w:rFonts w:cs="Times New Roman"/>
          <w:sz w:val="24"/>
          <w:szCs w:val="24"/>
          <w:vertAlign w:val="superscript"/>
        </w:rPr>
        <w:footnoteReference w:id="5"/>
      </w:r>
      <w:r w:rsidR="00294F4C">
        <w:rPr>
          <w:rFonts w:cs="Times New Roman"/>
          <w:sz w:val="24"/>
          <w:szCs w:val="24"/>
        </w:rPr>
        <w:t>]</w:t>
      </w:r>
      <w:r w:rsidRPr="00E8594F">
        <w:rPr>
          <w:rFonts w:cs="Times New Roman"/>
          <w:sz w:val="24"/>
          <w:szCs w:val="24"/>
        </w:rPr>
        <w:t>.</w:t>
      </w:r>
      <w:r w:rsidR="00294F4C">
        <w:rPr>
          <w:rFonts w:cs="Times New Roman"/>
          <w:sz w:val="24"/>
          <w:szCs w:val="24"/>
        </w:rPr>
        <w:t xml:space="preserve"> </w:t>
      </w:r>
      <w:r w:rsidR="00774C09">
        <w:rPr>
          <w:rFonts w:cs="Times New Roman"/>
          <w:sz w:val="24"/>
          <w:szCs w:val="24"/>
        </w:rPr>
        <w:t>In practice, in order to allow a smooth continuation of customs operations, all the a</w:t>
      </w:r>
      <w:r w:rsidR="00294F4C">
        <w:rPr>
          <w:rFonts w:cs="Times New Roman"/>
          <w:sz w:val="24"/>
          <w:szCs w:val="24"/>
        </w:rPr>
        <w:t xml:space="preserve">uthorisations </w:t>
      </w:r>
      <w:r w:rsidR="00774C09">
        <w:rPr>
          <w:rFonts w:cs="Times New Roman"/>
          <w:sz w:val="24"/>
          <w:szCs w:val="24"/>
        </w:rPr>
        <w:t xml:space="preserve">with an unlimited validity period and authorisations </w:t>
      </w:r>
      <w:r w:rsidR="00294F4C">
        <w:rPr>
          <w:rFonts w:cs="Times New Roman"/>
          <w:sz w:val="24"/>
          <w:szCs w:val="24"/>
        </w:rPr>
        <w:t xml:space="preserve">having an initial period of validity </w:t>
      </w:r>
      <w:r w:rsidR="00774C09">
        <w:rPr>
          <w:rFonts w:cs="Times New Roman"/>
          <w:sz w:val="24"/>
          <w:szCs w:val="24"/>
        </w:rPr>
        <w:t>expiring</w:t>
      </w:r>
      <w:r w:rsidR="00294F4C">
        <w:rPr>
          <w:rFonts w:cs="Times New Roman"/>
          <w:sz w:val="24"/>
          <w:szCs w:val="24"/>
        </w:rPr>
        <w:t xml:space="preserve"> after 1 May 2019 need to re</w:t>
      </w:r>
      <w:r w:rsidR="00774C09">
        <w:rPr>
          <w:rFonts w:cs="Times New Roman"/>
          <w:sz w:val="24"/>
          <w:szCs w:val="24"/>
        </w:rPr>
        <w:t>-</w:t>
      </w:r>
      <w:r w:rsidR="00294F4C">
        <w:rPr>
          <w:rFonts w:cs="Times New Roman"/>
          <w:sz w:val="24"/>
          <w:szCs w:val="24"/>
        </w:rPr>
        <w:t xml:space="preserve">assessed before </w:t>
      </w:r>
      <w:r w:rsidR="00774C09">
        <w:rPr>
          <w:rFonts w:cs="Times New Roman"/>
          <w:sz w:val="24"/>
          <w:szCs w:val="24"/>
        </w:rPr>
        <w:t>1 May 2019</w:t>
      </w:r>
      <w:r w:rsidR="00294F4C">
        <w:rPr>
          <w:rFonts w:cs="Times New Roman"/>
          <w:sz w:val="24"/>
          <w:szCs w:val="24"/>
        </w:rPr>
        <w:t>.</w:t>
      </w:r>
    </w:p>
    <w:p w:rsidR="00FC4B9C" w:rsidRDefault="007B5AED" w:rsidP="00E8594F">
      <w:pPr>
        <w:jc w:val="both"/>
        <w:rPr>
          <w:rFonts w:cs="Times New Roman"/>
          <w:sz w:val="24"/>
          <w:szCs w:val="24"/>
        </w:rPr>
      </w:pPr>
      <w:r>
        <w:rPr>
          <w:rFonts w:cs="Times New Roman"/>
          <w:sz w:val="24"/>
          <w:szCs w:val="24"/>
        </w:rPr>
        <w:t>Due to the fact that</w:t>
      </w:r>
      <w:r w:rsidR="00D2434F">
        <w:rPr>
          <w:rFonts w:cs="Times New Roman"/>
          <w:sz w:val="24"/>
          <w:szCs w:val="24"/>
        </w:rPr>
        <w:t xml:space="preserve"> </w:t>
      </w:r>
      <w:r w:rsidR="00FC4B9C">
        <w:rPr>
          <w:rFonts w:cs="Times New Roman"/>
          <w:sz w:val="24"/>
          <w:szCs w:val="24"/>
        </w:rPr>
        <w:t xml:space="preserve">the </w:t>
      </w:r>
      <w:r>
        <w:rPr>
          <w:rFonts w:cs="Times New Roman"/>
          <w:sz w:val="24"/>
          <w:szCs w:val="24"/>
        </w:rPr>
        <w:t xml:space="preserve">authorisations </w:t>
      </w:r>
      <w:r w:rsidR="00D2434F">
        <w:rPr>
          <w:rFonts w:cs="Times New Roman"/>
          <w:sz w:val="24"/>
          <w:szCs w:val="24"/>
        </w:rPr>
        <w:t>granted under the Community Customs Code were managed nationally and</w:t>
      </w:r>
      <w:r>
        <w:rPr>
          <w:rFonts w:cs="Times New Roman"/>
          <w:sz w:val="24"/>
          <w:szCs w:val="24"/>
        </w:rPr>
        <w:t xml:space="preserve"> identified by various names according to</w:t>
      </w:r>
      <w:r w:rsidR="00D2434F">
        <w:rPr>
          <w:rFonts w:cs="Times New Roman"/>
          <w:sz w:val="24"/>
          <w:szCs w:val="24"/>
        </w:rPr>
        <w:t xml:space="preserve"> national practice</w:t>
      </w:r>
      <w:r w:rsidR="00FC4B9C">
        <w:rPr>
          <w:rFonts w:cs="Times New Roman"/>
          <w:sz w:val="24"/>
          <w:szCs w:val="24"/>
        </w:rPr>
        <w:t>s</w:t>
      </w:r>
      <w:r>
        <w:rPr>
          <w:rFonts w:cs="Times New Roman"/>
          <w:sz w:val="24"/>
          <w:szCs w:val="24"/>
        </w:rPr>
        <w:t>,</w:t>
      </w:r>
      <w:r w:rsidR="00D2434F">
        <w:rPr>
          <w:rFonts w:cs="Times New Roman"/>
          <w:sz w:val="24"/>
          <w:szCs w:val="24"/>
        </w:rPr>
        <w:t xml:space="preserve"> the Commission has not been able to identify all variations of </w:t>
      </w:r>
      <w:r>
        <w:rPr>
          <w:rFonts w:cs="Times New Roman"/>
          <w:sz w:val="24"/>
          <w:szCs w:val="24"/>
        </w:rPr>
        <w:t xml:space="preserve">authorisations </w:t>
      </w:r>
      <w:r w:rsidR="00D2434F">
        <w:rPr>
          <w:rFonts w:cs="Times New Roman"/>
          <w:sz w:val="24"/>
          <w:szCs w:val="24"/>
        </w:rPr>
        <w:t>granted under th</w:t>
      </w:r>
      <w:r w:rsidR="00FC4B9C">
        <w:rPr>
          <w:rFonts w:cs="Times New Roman"/>
          <w:sz w:val="24"/>
          <w:szCs w:val="24"/>
        </w:rPr>
        <w:t>e Community Customs Code</w:t>
      </w:r>
      <w:r w:rsidR="00D2434F">
        <w:rPr>
          <w:rFonts w:cs="Times New Roman"/>
          <w:sz w:val="24"/>
          <w:szCs w:val="24"/>
        </w:rPr>
        <w:t xml:space="preserve">. </w:t>
      </w:r>
    </w:p>
    <w:p w:rsidR="00D2434F" w:rsidRDefault="00D2434F" w:rsidP="00E8594F">
      <w:pPr>
        <w:jc w:val="both"/>
        <w:rPr>
          <w:rFonts w:cs="Times New Roman"/>
          <w:sz w:val="24"/>
          <w:szCs w:val="24"/>
        </w:rPr>
      </w:pPr>
      <w:r>
        <w:rPr>
          <w:rFonts w:cs="Times New Roman"/>
          <w:sz w:val="24"/>
          <w:szCs w:val="24"/>
        </w:rPr>
        <w:t xml:space="preserve">The Commission </w:t>
      </w:r>
      <w:r w:rsidR="007B5AED">
        <w:rPr>
          <w:rFonts w:cs="Times New Roman"/>
          <w:sz w:val="24"/>
          <w:szCs w:val="24"/>
        </w:rPr>
        <w:t xml:space="preserve">thus </w:t>
      </w:r>
      <w:r>
        <w:rPr>
          <w:rFonts w:cs="Times New Roman"/>
          <w:sz w:val="24"/>
          <w:szCs w:val="24"/>
        </w:rPr>
        <w:t>urges the M</w:t>
      </w:r>
      <w:r w:rsidR="007B5AED">
        <w:rPr>
          <w:rFonts w:cs="Times New Roman"/>
          <w:sz w:val="24"/>
          <w:szCs w:val="24"/>
        </w:rPr>
        <w:t xml:space="preserve">ember </w:t>
      </w:r>
      <w:r>
        <w:rPr>
          <w:rFonts w:cs="Times New Roman"/>
          <w:sz w:val="24"/>
          <w:szCs w:val="24"/>
        </w:rPr>
        <w:t>S</w:t>
      </w:r>
      <w:r w:rsidR="007B5AED">
        <w:rPr>
          <w:rFonts w:cs="Times New Roman"/>
          <w:sz w:val="24"/>
          <w:szCs w:val="24"/>
        </w:rPr>
        <w:t>tates</w:t>
      </w:r>
      <w:r>
        <w:rPr>
          <w:rFonts w:cs="Times New Roman"/>
          <w:sz w:val="24"/>
          <w:szCs w:val="24"/>
        </w:rPr>
        <w:t xml:space="preserve">, if </w:t>
      </w:r>
      <w:r w:rsidR="00FC4B9C">
        <w:rPr>
          <w:rFonts w:cs="Times New Roman"/>
          <w:sz w:val="24"/>
          <w:szCs w:val="24"/>
        </w:rPr>
        <w:t xml:space="preserve">they have </w:t>
      </w:r>
      <w:r>
        <w:rPr>
          <w:rFonts w:cs="Times New Roman"/>
          <w:sz w:val="24"/>
          <w:szCs w:val="24"/>
        </w:rPr>
        <w:t>not already done</w:t>
      </w:r>
      <w:r w:rsidR="00FC4B9C">
        <w:rPr>
          <w:rFonts w:cs="Times New Roman"/>
          <w:sz w:val="24"/>
          <w:szCs w:val="24"/>
        </w:rPr>
        <w:t xml:space="preserve"> so</w:t>
      </w:r>
      <w:r>
        <w:rPr>
          <w:rFonts w:cs="Times New Roman"/>
          <w:sz w:val="24"/>
          <w:szCs w:val="24"/>
        </w:rPr>
        <w:t xml:space="preserve">, </w:t>
      </w:r>
      <w:r w:rsidR="007B5AED">
        <w:rPr>
          <w:rFonts w:cs="Times New Roman"/>
          <w:sz w:val="24"/>
          <w:szCs w:val="24"/>
        </w:rPr>
        <w:t xml:space="preserve">to </w:t>
      </w:r>
      <w:r>
        <w:rPr>
          <w:rFonts w:cs="Times New Roman"/>
          <w:sz w:val="24"/>
          <w:szCs w:val="24"/>
        </w:rPr>
        <w:t xml:space="preserve">identify all </w:t>
      </w:r>
      <w:r w:rsidR="007B5AED">
        <w:rPr>
          <w:rFonts w:cs="Times New Roman"/>
          <w:sz w:val="24"/>
          <w:szCs w:val="24"/>
        </w:rPr>
        <w:t>existing</w:t>
      </w:r>
      <w:r>
        <w:rPr>
          <w:rFonts w:cs="Times New Roman"/>
          <w:sz w:val="24"/>
          <w:szCs w:val="24"/>
        </w:rPr>
        <w:t xml:space="preserve"> </w:t>
      </w:r>
      <w:r w:rsidR="00FC4B9C">
        <w:rPr>
          <w:rFonts w:cs="Times New Roman"/>
          <w:sz w:val="24"/>
          <w:szCs w:val="24"/>
        </w:rPr>
        <w:t>a</w:t>
      </w:r>
      <w:r w:rsidR="007B5AED">
        <w:rPr>
          <w:rFonts w:cs="Times New Roman"/>
          <w:sz w:val="24"/>
          <w:szCs w:val="24"/>
        </w:rPr>
        <w:t xml:space="preserve">uthorisations </w:t>
      </w:r>
      <w:r w:rsidR="00FC4B9C">
        <w:rPr>
          <w:rFonts w:cs="Times New Roman"/>
          <w:sz w:val="24"/>
          <w:szCs w:val="24"/>
        </w:rPr>
        <w:t xml:space="preserve">that they </w:t>
      </w:r>
      <w:r>
        <w:rPr>
          <w:rFonts w:cs="Times New Roman"/>
          <w:sz w:val="24"/>
          <w:szCs w:val="24"/>
        </w:rPr>
        <w:t xml:space="preserve">granted under the Community Customs Code, </w:t>
      </w:r>
      <w:r w:rsidR="00FC4B9C">
        <w:rPr>
          <w:rFonts w:cs="Times New Roman"/>
          <w:sz w:val="24"/>
          <w:szCs w:val="24"/>
        </w:rPr>
        <w:t xml:space="preserve">in preparation for </w:t>
      </w:r>
      <w:r w:rsidR="007B5AED">
        <w:rPr>
          <w:rFonts w:cs="Times New Roman"/>
          <w:sz w:val="24"/>
          <w:szCs w:val="24"/>
        </w:rPr>
        <w:t>the</w:t>
      </w:r>
      <w:r>
        <w:rPr>
          <w:rFonts w:cs="Times New Roman"/>
          <w:sz w:val="24"/>
          <w:szCs w:val="24"/>
        </w:rPr>
        <w:t xml:space="preserve"> re-assess</w:t>
      </w:r>
      <w:r w:rsidR="007B5AED">
        <w:rPr>
          <w:rFonts w:cs="Times New Roman"/>
          <w:sz w:val="24"/>
          <w:szCs w:val="24"/>
        </w:rPr>
        <w:t>ment</w:t>
      </w:r>
      <w:r w:rsidR="00FC4B9C">
        <w:rPr>
          <w:rFonts w:cs="Times New Roman"/>
          <w:sz w:val="24"/>
          <w:szCs w:val="24"/>
        </w:rPr>
        <w:t xml:space="preserve"> of those authorisations</w:t>
      </w:r>
      <w:r>
        <w:rPr>
          <w:rFonts w:cs="Times New Roman"/>
          <w:sz w:val="24"/>
          <w:szCs w:val="24"/>
        </w:rPr>
        <w:t xml:space="preserve">.  </w:t>
      </w:r>
    </w:p>
    <w:p w:rsidR="00FA4A6B" w:rsidRDefault="00FA4A6B" w:rsidP="00FA4A6B">
      <w:pPr>
        <w:jc w:val="both"/>
        <w:rPr>
          <w:rFonts w:cs="Times New Roman"/>
          <w:sz w:val="24"/>
          <w:szCs w:val="24"/>
        </w:rPr>
      </w:pPr>
      <w:r w:rsidRPr="00E8594F">
        <w:rPr>
          <w:rFonts w:cs="Times New Roman"/>
          <w:sz w:val="24"/>
          <w:szCs w:val="24"/>
        </w:rPr>
        <w:lastRenderedPageBreak/>
        <w:t xml:space="preserve">The </w:t>
      </w:r>
      <w:r w:rsidR="00FC4B9C">
        <w:rPr>
          <w:rFonts w:cs="Times New Roman"/>
          <w:sz w:val="24"/>
          <w:szCs w:val="24"/>
        </w:rPr>
        <w:t xml:space="preserve">result of the </w:t>
      </w:r>
      <w:r w:rsidRPr="00E8594F">
        <w:rPr>
          <w:rFonts w:cs="Times New Roman"/>
          <w:sz w:val="24"/>
          <w:szCs w:val="24"/>
        </w:rPr>
        <w:t xml:space="preserve">re-assessment exercise shall </w:t>
      </w:r>
      <w:r w:rsidR="00FC4B9C">
        <w:rPr>
          <w:rFonts w:cs="Times New Roman"/>
          <w:sz w:val="24"/>
          <w:szCs w:val="24"/>
        </w:rPr>
        <w:t xml:space="preserve">be to </w:t>
      </w:r>
      <w:r w:rsidRPr="00E8594F">
        <w:rPr>
          <w:rFonts w:cs="Times New Roman"/>
          <w:sz w:val="24"/>
          <w:szCs w:val="24"/>
        </w:rPr>
        <w:t xml:space="preserve">revoke the authorisations </w:t>
      </w:r>
      <w:r w:rsidR="00294F4C">
        <w:rPr>
          <w:rFonts w:cs="Times New Roman"/>
          <w:sz w:val="24"/>
          <w:szCs w:val="24"/>
        </w:rPr>
        <w:t xml:space="preserve">granted under the Community Customs Code </w:t>
      </w:r>
      <w:r w:rsidRPr="00E8594F">
        <w:rPr>
          <w:rFonts w:cs="Times New Roman"/>
          <w:sz w:val="24"/>
          <w:szCs w:val="24"/>
        </w:rPr>
        <w:t>and, where appropriate, grant new authorisations</w:t>
      </w:r>
      <w:r w:rsidR="00294F4C">
        <w:rPr>
          <w:rFonts w:cs="Times New Roman"/>
          <w:sz w:val="24"/>
          <w:szCs w:val="24"/>
        </w:rPr>
        <w:t xml:space="preserve"> in accordance with the UCC criteria</w:t>
      </w:r>
      <w:r w:rsidRPr="00E8594F">
        <w:rPr>
          <w:rFonts w:cs="Times New Roman"/>
          <w:sz w:val="24"/>
          <w:szCs w:val="24"/>
        </w:rPr>
        <w:t>.</w:t>
      </w:r>
    </w:p>
    <w:p w:rsidR="00FA4A6B" w:rsidRDefault="00202E5C" w:rsidP="00FA4A6B">
      <w:pPr>
        <w:jc w:val="both"/>
        <w:rPr>
          <w:rFonts w:cs="Times New Roman"/>
          <w:sz w:val="24"/>
          <w:szCs w:val="24"/>
        </w:rPr>
      </w:pPr>
      <w:r>
        <w:rPr>
          <w:rFonts w:cs="Times New Roman"/>
          <w:sz w:val="24"/>
          <w:szCs w:val="24"/>
        </w:rPr>
        <w:t xml:space="preserve">In the meantime, even after </w:t>
      </w:r>
      <w:proofErr w:type="gramStart"/>
      <w:r w:rsidR="00FA4A6B" w:rsidRPr="00FA4A6B">
        <w:rPr>
          <w:rFonts w:cs="Times New Roman"/>
          <w:sz w:val="24"/>
          <w:szCs w:val="24"/>
        </w:rPr>
        <w:t>1  May</w:t>
      </w:r>
      <w:proofErr w:type="gramEnd"/>
      <w:r w:rsidR="00FA4A6B" w:rsidRPr="00FA4A6B">
        <w:rPr>
          <w:rFonts w:cs="Times New Roman"/>
          <w:sz w:val="24"/>
          <w:szCs w:val="24"/>
        </w:rPr>
        <w:t xml:space="preserve">  2016</w:t>
      </w:r>
      <w:r>
        <w:rPr>
          <w:rFonts w:cs="Times New Roman"/>
          <w:sz w:val="24"/>
          <w:szCs w:val="24"/>
        </w:rPr>
        <w:t xml:space="preserve"> when the UCC took effect, the holder can continue to use the old authorisation</w:t>
      </w:r>
      <w:r w:rsidR="00FA4A6B" w:rsidRPr="00FA4A6B">
        <w:rPr>
          <w:rFonts w:cs="Times New Roman"/>
          <w:sz w:val="24"/>
          <w:szCs w:val="24"/>
        </w:rPr>
        <w:t xml:space="preserve"> </w:t>
      </w:r>
      <w:r>
        <w:rPr>
          <w:rFonts w:cs="Times New Roman"/>
          <w:sz w:val="24"/>
          <w:szCs w:val="24"/>
        </w:rPr>
        <w:t xml:space="preserve">and it remains valid </w:t>
      </w:r>
      <w:r w:rsidR="00FA4A6B" w:rsidRPr="00FA4A6B">
        <w:rPr>
          <w:rFonts w:cs="Times New Roman"/>
          <w:sz w:val="24"/>
          <w:szCs w:val="24"/>
        </w:rPr>
        <w:t xml:space="preserve">until  the  moment  </w:t>
      </w:r>
      <w:r>
        <w:rPr>
          <w:rFonts w:cs="Times New Roman"/>
          <w:sz w:val="24"/>
          <w:szCs w:val="24"/>
        </w:rPr>
        <w:t>it</w:t>
      </w:r>
      <w:r w:rsidR="00FA4A6B" w:rsidRPr="00FA4A6B">
        <w:rPr>
          <w:rFonts w:cs="Times New Roman"/>
          <w:sz w:val="24"/>
          <w:szCs w:val="24"/>
        </w:rPr>
        <w:t xml:space="preserve">  is  re</w:t>
      </w:r>
      <w:r w:rsidR="00FA4A6B">
        <w:rPr>
          <w:rFonts w:cs="Times New Roman"/>
          <w:sz w:val="24"/>
          <w:szCs w:val="24"/>
        </w:rPr>
        <w:t>-assessed</w:t>
      </w:r>
      <w:r>
        <w:rPr>
          <w:rFonts w:cs="Times New Roman"/>
          <w:sz w:val="24"/>
          <w:szCs w:val="24"/>
        </w:rPr>
        <w:t xml:space="preserve"> </w:t>
      </w:r>
      <w:r w:rsidR="00FA4A6B" w:rsidRPr="00FA4A6B">
        <w:rPr>
          <w:rFonts w:cs="Times New Roman"/>
          <w:sz w:val="24"/>
          <w:szCs w:val="24"/>
        </w:rPr>
        <w:t xml:space="preserve">(Article 251(1)(b) DA). </w:t>
      </w:r>
    </w:p>
    <w:p w:rsidR="00FA4A6B" w:rsidRPr="00E8594F" w:rsidRDefault="00FA4A6B" w:rsidP="00FA4A6B">
      <w:pPr>
        <w:jc w:val="both"/>
        <w:rPr>
          <w:rFonts w:cs="Times New Roman"/>
          <w:sz w:val="24"/>
          <w:szCs w:val="24"/>
        </w:rPr>
      </w:pPr>
      <w:r w:rsidRPr="00FA4A6B">
        <w:rPr>
          <w:rFonts w:cs="Times New Roman"/>
          <w:sz w:val="24"/>
          <w:szCs w:val="24"/>
        </w:rPr>
        <w:t>This implies also that, for instance, an</w:t>
      </w:r>
      <w:r>
        <w:rPr>
          <w:rFonts w:cs="Times New Roman"/>
          <w:sz w:val="24"/>
          <w:szCs w:val="24"/>
        </w:rPr>
        <w:t xml:space="preserve"> </w:t>
      </w:r>
      <w:r w:rsidRPr="00FA4A6B">
        <w:rPr>
          <w:rFonts w:cs="Times New Roman"/>
          <w:sz w:val="24"/>
          <w:szCs w:val="24"/>
        </w:rPr>
        <w:t xml:space="preserve">authorisation that was </w:t>
      </w:r>
      <w:r>
        <w:rPr>
          <w:rFonts w:cs="Times New Roman"/>
          <w:sz w:val="24"/>
          <w:szCs w:val="24"/>
        </w:rPr>
        <w:t>issued wi</w:t>
      </w:r>
      <w:r w:rsidRPr="00FA4A6B">
        <w:rPr>
          <w:rFonts w:cs="Times New Roman"/>
          <w:sz w:val="24"/>
          <w:szCs w:val="24"/>
        </w:rPr>
        <w:t>thout</w:t>
      </w:r>
      <w:r>
        <w:rPr>
          <w:rFonts w:cs="Times New Roman"/>
          <w:sz w:val="24"/>
          <w:szCs w:val="24"/>
        </w:rPr>
        <w:t xml:space="preserve"> </w:t>
      </w:r>
      <w:r w:rsidRPr="00FA4A6B">
        <w:rPr>
          <w:rFonts w:cs="Times New Roman"/>
          <w:sz w:val="24"/>
          <w:szCs w:val="24"/>
        </w:rPr>
        <w:t xml:space="preserve">the </w:t>
      </w:r>
      <w:r>
        <w:rPr>
          <w:rFonts w:cs="Times New Roman"/>
          <w:sz w:val="24"/>
          <w:szCs w:val="24"/>
        </w:rPr>
        <w:t>requirement</w:t>
      </w:r>
      <w:r w:rsidRPr="00FA4A6B">
        <w:rPr>
          <w:rFonts w:cs="Times New Roman"/>
          <w:sz w:val="24"/>
          <w:szCs w:val="24"/>
        </w:rPr>
        <w:t xml:space="preserve"> of a guarantee remains valid without the economic operator having to provide</w:t>
      </w:r>
      <w:r>
        <w:rPr>
          <w:rFonts w:cs="Times New Roman"/>
          <w:sz w:val="24"/>
          <w:szCs w:val="24"/>
        </w:rPr>
        <w:t xml:space="preserve"> a </w:t>
      </w:r>
      <w:r w:rsidRPr="00FA4A6B">
        <w:rPr>
          <w:rFonts w:cs="Times New Roman"/>
          <w:sz w:val="24"/>
          <w:szCs w:val="24"/>
        </w:rPr>
        <w:t xml:space="preserve">guarantee after the entry into application of the </w:t>
      </w:r>
      <w:r>
        <w:rPr>
          <w:rFonts w:cs="Times New Roman"/>
          <w:sz w:val="24"/>
          <w:szCs w:val="24"/>
        </w:rPr>
        <w:t xml:space="preserve">UCC on </w:t>
      </w:r>
      <w:r w:rsidRPr="00FA4A6B">
        <w:rPr>
          <w:rFonts w:cs="Times New Roman"/>
          <w:sz w:val="24"/>
          <w:szCs w:val="24"/>
        </w:rPr>
        <w:t>1 May 2016.</w:t>
      </w:r>
      <w:r w:rsidR="00294F4C">
        <w:rPr>
          <w:rFonts w:cs="Times New Roman"/>
          <w:sz w:val="24"/>
          <w:szCs w:val="24"/>
        </w:rPr>
        <w:t xml:space="preserve"> </w:t>
      </w:r>
    </w:p>
    <w:p w:rsidR="009B3C49" w:rsidRDefault="00FA4A6B" w:rsidP="00FA4A6B">
      <w:pPr>
        <w:spacing w:after="120"/>
        <w:jc w:val="both"/>
        <w:rPr>
          <w:rFonts w:cs="Times New Roman"/>
          <w:sz w:val="24"/>
          <w:szCs w:val="24"/>
        </w:rPr>
      </w:pPr>
      <w:r>
        <w:rPr>
          <w:rFonts w:cs="Times New Roman"/>
          <w:sz w:val="24"/>
          <w:szCs w:val="24"/>
        </w:rPr>
        <w:t xml:space="preserve">From a legal point of view, </w:t>
      </w:r>
      <w:r w:rsidRPr="00FA4A6B">
        <w:rPr>
          <w:rFonts w:cs="Times New Roman"/>
          <w:sz w:val="24"/>
          <w:szCs w:val="24"/>
        </w:rPr>
        <w:t>neither the reassessment nor the granting of a new authorisation under the UCC rules following a re-assessment requires an application</w:t>
      </w:r>
      <w:r w:rsidR="00202E5C">
        <w:rPr>
          <w:rFonts w:cs="Times New Roman"/>
          <w:sz w:val="24"/>
          <w:szCs w:val="24"/>
        </w:rPr>
        <w:t xml:space="preserve"> by the economic operator</w:t>
      </w:r>
      <w:r w:rsidRPr="00FA4A6B">
        <w:rPr>
          <w:rFonts w:cs="Times New Roman"/>
          <w:sz w:val="24"/>
          <w:szCs w:val="24"/>
        </w:rPr>
        <w:t>.</w:t>
      </w:r>
      <w:r w:rsidR="009B3C49">
        <w:rPr>
          <w:rFonts w:cs="Times New Roman"/>
          <w:sz w:val="24"/>
          <w:szCs w:val="24"/>
        </w:rPr>
        <w:t xml:space="preserve"> T</w:t>
      </w:r>
      <w:r w:rsidRPr="00FA4A6B">
        <w:rPr>
          <w:rFonts w:cs="Times New Roman"/>
          <w:sz w:val="24"/>
          <w:szCs w:val="24"/>
        </w:rPr>
        <w:t xml:space="preserve">he re-assessment exercise </w:t>
      </w:r>
      <w:r w:rsidR="00774C09">
        <w:rPr>
          <w:rFonts w:cs="Times New Roman"/>
          <w:sz w:val="24"/>
          <w:szCs w:val="24"/>
        </w:rPr>
        <w:t>requires that the customs authorities both (</w:t>
      </w:r>
      <w:proofErr w:type="spellStart"/>
      <w:r w:rsidR="00774C09">
        <w:rPr>
          <w:rFonts w:cs="Times New Roman"/>
          <w:sz w:val="24"/>
          <w:szCs w:val="24"/>
        </w:rPr>
        <w:t>i</w:t>
      </w:r>
      <w:proofErr w:type="spellEnd"/>
      <w:r w:rsidR="00774C09">
        <w:rPr>
          <w:rFonts w:cs="Times New Roman"/>
          <w:sz w:val="24"/>
          <w:szCs w:val="24"/>
        </w:rPr>
        <w:t xml:space="preserve">) revoke </w:t>
      </w:r>
      <w:r w:rsidRPr="00FA4A6B">
        <w:rPr>
          <w:rFonts w:cs="Times New Roman"/>
          <w:sz w:val="24"/>
          <w:szCs w:val="24"/>
        </w:rPr>
        <w:t xml:space="preserve">the existing authorisation and </w:t>
      </w:r>
      <w:r w:rsidR="00774C09">
        <w:rPr>
          <w:rFonts w:cs="Times New Roman"/>
          <w:sz w:val="24"/>
          <w:szCs w:val="24"/>
        </w:rPr>
        <w:t>(ii) decide whether or not to grant a</w:t>
      </w:r>
      <w:r w:rsidRPr="00FA4A6B">
        <w:rPr>
          <w:rFonts w:cs="Times New Roman"/>
          <w:sz w:val="24"/>
          <w:szCs w:val="24"/>
        </w:rPr>
        <w:t xml:space="preserve"> new authorisation, </w:t>
      </w:r>
      <w:r w:rsidR="004D24B5">
        <w:rPr>
          <w:rFonts w:cs="Times New Roman"/>
          <w:sz w:val="24"/>
          <w:szCs w:val="24"/>
        </w:rPr>
        <w:t xml:space="preserve">according to the UCC criteria, </w:t>
      </w:r>
      <w:r w:rsidRPr="00FA4A6B">
        <w:rPr>
          <w:rFonts w:cs="Times New Roman"/>
          <w:sz w:val="24"/>
          <w:szCs w:val="24"/>
        </w:rPr>
        <w:t xml:space="preserve">without </w:t>
      </w:r>
      <w:r w:rsidR="00774C09">
        <w:rPr>
          <w:rFonts w:cs="Times New Roman"/>
          <w:sz w:val="24"/>
          <w:szCs w:val="24"/>
        </w:rPr>
        <w:t>the</w:t>
      </w:r>
      <w:r w:rsidRPr="00FA4A6B">
        <w:rPr>
          <w:rFonts w:cs="Times New Roman"/>
          <w:sz w:val="24"/>
          <w:szCs w:val="24"/>
        </w:rPr>
        <w:t xml:space="preserve"> economic operator </w:t>
      </w:r>
      <w:r w:rsidR="00774C09">
        <w:rPr>
          <w:rFonts w:cs="Times New Roman"/>
          <w:sz w:val="24"/>
          <w:szCs w:val="24"/>
        </w:rPr>
        <w:t>having to apply for it</w:t>
      </w:r>
      <w:r w:rsidRPr="00FA4A6B">
        <w:rPr>
          <w:rFonts w:cs="Times New Roman"/>
          <w:sz w:val="24"/>
          <w:szCs w:val="24"/>
        </w:rPr>
        <w:t>.</w:t>
      </w:r>
      <w:r w:rsidR="009B3C49">
        <w:rPr>
          <w:rFonts w:cs="Times New Roman"/>
          <w:sz w:val="24"/>
          <w:szCs w:val="24"/>
        </w:rPr>
        <w:t xml:space="preserve"> </w:t>
      </w:r>
    </w:p>
    <w:p w:rsidR="00FA4A6B" w:rsidRPr="00FA4A6B" w:rsidRDefault="009B3C49" w:rsidP="00FA4A6B">
      <w:pPr>
        <w:spacing w:after="120"/>
        <w:jc w:val="both"/>
        <w:rPr>
          <w:rFonts w:cs="Times New Roman"/>
          <w:sz w:val="24"/>
          <w:szCs w:val="24"/>
        </w:rPr>
      </w:pPr>
      <w:r>
        <w:rPr>
          <w:rFonts w:cs="Times New Roman"/>
          <w:sz w:val="24"/>
          <w:szCs w:val="24"/>
        </w:rPr>
        <w:t>In order to facilitate the exercise from a practical point of view</w:t>
      </w:r>
      <w:r w:rsidR="00291D09">
        <w:rPr>
          <w:rFonts w:cs="Times New Roman"/>
          <w:sz w:val="24"/>
          <w:szCs w:val="24"/>
        </w:rPr>
        <w:t xml:space="preserve"> and considering </w:t>
      </w:r>
      <w:r w:rsidR="00D474FE">
        <w:rPr>
          <w:rFonts w:cs="Times New Roman"/>
          <w:sz w:val="24"/>
          <w:szCs w:val="24"/>
        </w:rPr>
        <w:t xml:space="preserve">the </w:t>
      </w:r>
      <w:r w:rsidR="00DE21EB">
        <w:rPr>
          <w:rFonts w:cs="Times New Roman"/>
          <w:sz w:val="24"/>
          <w:szCs w:val="24"/>
        </w:rPr>
        <w:t xml:space="preserve">current </w:t>
      </w:r>
      <w:r w:rsidR="00D474FE">
        <w:rPr>
          <w:rFonts w:cs="Times New Roman"/>
          <w:sz w:val="24"/>
          <w:szCs w:val="24"/>
        </w:rPr>
        <w:t>practice of</w:t>
      </w:r>
      <w:r w:rsidR="00291D09">
        <w:rPr>
          <w:rFonts w:cs="Times New Roman"/>
          <w:sz w:val="24"/>
          <w:szCs w:val="24"/>
        </w:rPr>
        <w:t xml:space="preserve"> some Member States</w:t>
      </w:r>
      <w:r>
        <w:rPr>
          <w:rFonts w:cs="Times New Roman"/>
          <w:sz w:val="24"/>
          <w:szCs w:val="24"/>
        </w:rPr>
        <w:t>, the Commission would like to suggest to the customs administration to contact the holder of the authorisation prior to the start of the re-assessment exercise, in order to verify if the authorisation is still needed. It may be the case that the holder does not make use of an authorisation and therefore does not need it to be re-assessed and, where appropriate, renewed.</w:t>
      </w:r>
    </w:p>
    <w:p w:rsidR="00FA4A6B" w:rsidRDefault="00FA4A6B" w:rsidP="00976082">
      <w:pPr>
        <w:spacing w:after="120"/>
        <w:jc w:val="both"/>
        <w:rPr>
          <w:rFonts w:cs="Times New Roman"/>
          <w:sz w:val="24"/>
          <w:szCs w:val="24"/>
        </w:rPr>
      </w:pPr>
    </w:p>
    <w:p w:rsidR="00FA4A6B" w:rsidRPr="00E8594F" w:rsidRDefault="00FA4A6B" w:rsidP="00976082">
      <w:pPr>
        <w:spacing w:after="120"/>
        <w:jc w:val="both"/>
        <w:rPr>
          <w:rFonts w:cs="Times New Roman"/>
          <w:sz w:val="24"/>
          <w:szCs w:val="24"/>
        </w:rPr>
      </w:pPr>
      <w:r w:rsidRPr="00E8594F">
        <w:rPr>
          <w:rFonts w:eastAsia="Times New Roman" w:cs="Times New Roman"/>
          <w:b/>
          <w:sz w:val="24"/>
          <w:szCs w:val="20"/>
        </w:rPr>
        <w:t>Re-assessment of the authorisation</w:t>
      </w:r>
      <w:r>
        <w:rPr>
          <w:rFonts w:eastAsia="Times New Roman" w:cs="Times New Roman"/>
          <w:b/>
          <w:sz w:val="24"/>
          <w:szCs w:val="20"/>
        </w:rPr>
        <w:t>s in relation to the customs IT systems</w:t>
      </w:r>
    </w:p>
    <w:p w:rsidR="00981B7F" w:rsidRPr="009C4C7C" w:rsidRDefault="00981B7F" w:rsidP="009A02D9">
      <w:pPr>
        <w:spacing w:after="120"/>
        <w:jc w:val="both"/>
      </w:pPr>
      <w:r w:rsidRPr="009A02D9">
        <w:rPr>
          <w:rFonts w:cs="Times New Roman"/>
          <w:sz w:val="24"/>
          <w:szCs w:val="24"/>
        </w:rPr>
        <w:t>On 2 March 2018, the Commission formally adopted the proposal to amend Article 278</w:t>
      </w:r>
      <w:r w:rsidR="00D75E5A" w:rsidRPr="009A02D9">
        <w:rPr>
          <w:rFonts w:cs="Times New Roman"/>
          <w:sz w:val="24"/>
          <w:szCs w:val="24"/>
        </w:rPr>
        <w:t xml:space="preserve"> UCC. This amendment will allow</w:t>
      </w:r>
      <w:r w:rsidRPr="009A02D9">
        <w:rPr>
          <w:rFonts w:cs="Times New Roman"/>
          <w:sz w:val="24"/>
          <w:szCs w:val="24"/>
        </w:rPr>
        <w:t xml:space="preserve"> customs authorities and economic operators to continue using </w:t>
      </w:r>
      <w:r w:rsidR="00944D79">
        <w:rPr>
          <w:rFonts w:cs="Times New Roman"/>
          <w:sz w:val="24"/>
          <w:szCs w:val="24"/>
        </w:rPr>
        <w:t xml:space="preserve">some transitional arrangements (i.e. </w:t>
      </w:r>
      <w:r w:rsidRPr="009A02D9">
        <w:rPr>
          <w:rFonts w:cs="Times New Roman"/>
          <w:sz w:val="24"/>
          <w:szCs w:val="24"/>
        </w:rPr>
        <w:t>some of the existing customs electronic systems and paper-based procedures</w:t>
      </w:r>
      <w:r w:rsidR="00944D79">
        <w:rPr>
          <w:rFonts w:cs="Times New Roman"/>
          <w:sz w:val="24"/>
          <w:szCs w:val="24"/>
        </w:rPr>
        <w:t>)</w:t>
      </w:r>
      <w:r w:rsidRPr="009A02D9">
        <w:rPr>
          <w:rFonts w:cs="Times New Roman"/>
          <w:sz w:val="24"/>
          <w:szCs w:val="24"/>
        </w:rPr>
        <w:t xml:space="preserve"> after 2020, until 2025 at the latest. The reason </w:t>
      </w:r>
      <w:r w:rsidR="00944D79">
        <w:rPr>
          <w:rFonts w:cs="Times New Roman"/>
          <w:sz w:val="24"/>
          <w:szCs w:val="24"/>
        </w:rPr>
        <w:t xml:space="preserve">for the extension of the transitional arrangements </w:t>
      </w:r>
      <w:r w:rsidRPr="009A02D9">
        <w:rPr>
          <w:rFonts w:cs="Times New Roman"/>
          <w:sz w:val="24"/>
          <w:szCs w:val="24"/>
        </w:rPr>
        <w:t xml:space="preserve">is that </w:t>
      </w:r>
      <w:r w:rsidR="00944D79">
        <w:rPr>
          <w:rFonts w:cs="Times New Roman"/>
          <w:sz w:val="24"/>
          <w:szCs w:val="24"/>
        </w:rPr>
        <w:t xml:space="preserve">some of </w:t>
      </w:r>
      <w:r w:rsidRPr="009A02D9">
        <w:rPr>
          <w:rFonts w:cs="Times New Roman"/>
          <w:sz w:val="24"/>
          <w:szCs w:val="24"/>
        </w:rPr>
        <w:t xml:space="preserve">the electronic systems that are necessary to apply the </w:t>
      </w:r>
      <w:r w:rsidR="00DE21EB" w:rsidRPr="009A02D9">
        <w:rPr>
          <w:rFonts w:cs="Times New Roman"/>
          <w:sz w:val="24"/>
          <w:szCs w:val="24"/>
        </w:rPr>
        <w:t>UCC</w:t>
      </w:r>
      <w:r w:rsidRPr="009A02D9">
        <w:rPr>
          <w:rFonts w:cs="Times New Roman"/>
          <w:sz w:val="24"/>
          <w:szCs w:val="24"/>
        </w:rPr>
        <w:t xml:space="preserve"> will </w:t>
      </w:r>
      <w:r w:rsidR="00944D79">
        <w:rPr>
          <w:rFonts w:cs="Times New Roman"/>
          <w:sz w:val="24"/>
          <w:szCs w:val="24"/>
        </w:rPr>
        <w:t xml:space="preserve">not </w:t>
      </w:r>
      <w:r w:rsidRPr="009A02D9">
        <w:rPr>
          <w:rFonts w:cs="Times New Roman"/>
          <w:sz w:val="24"/>
          <w:szCs w:val="24"/>
        </w:rPr>
        <w:t>be operational</w:t>
      </w:r>
      <w:r w:rsidR="00944D79">
        <w:rPr>
          <w:rFonts w:cs="Times New Roman"/>
          <w:sz w:val="24"/>
          <w:szCs w:val="24"/>
        </w:rPr>
        <w:t xml:space="preserve"> by 2020</w:t>
      </w:r>
      <w:r w:rsidRPr="009A02D9">
        <w:rPr>
          <w:rFonts w:cs="Times New Roman"/>
          <w:sz w:val="24"/>
          <w:szCs w:val="24"/>
        </w:rPr>
        <w:t>.</w:t>
      </w:r>
    </w:p>
    <w:p w:rsidR="00D75E5A" w:rsidRPr="00944D79" w:rsidRDefault="00D75E5A" w:rsidP="009A02D9">
      <w:pPr>
        <w:spacing w:after="120"/>
        <w:jc w:val="both"/>
        <w:rPr>
          <w:rFonts w:cs="Times New Roman"/>
          <w:sz w:val="24"/>
          <w:szCs w:val="24"/>
        </w:rPr>
      </w:pPr>
      <w:r w:rsidRPr="00944D79">
        <w:rPr>
          <w:rFonts w:cs="Times New Roman"/>
          <w:sz w:val="24"/>
          <w:szCs w:val="24"/>
        </w:rPr>
        <w:t>The</w:t>
      </w:r>
      <w:r w:rsidR="00976082" w:rsidRPr="00944D79">
        <w:rPr>
          <w:rFonts w:cs="Times New Roman"/>
          <w:sz w:val="24"/>
          <w:szCs w:val="24"/>
        </w:rPr>
        <w:t xml:space="preserve"> postponement of the deadline </w:t>
      </w:r>
      <w:r w:rsidR="00AE565C" w:rsidRPr="00944D79">
        <w:rPr>
          <w:rFonts w:cs="Times New Roman"/>
          <w:sz w:val="24"/>
          <w:szCs w:val="24"/>
        </w:rPr>
        <w:t>for the upgrade or deployment of some IT systems</w:t>
      </w:r>
      <w:r w:rsidR="00746197" w:rsidRPr="009A02D9">
        <w:rPr>
          <w:rFonts w:cs="Times New Roman"/>
          <w:sz w:val="24"/>
          <w:szCs w:val="24"/>
        </w:rPr>
        <w:t xml:space="preserve"> </w:t>
      </w:r>
      <w:r w:rsidR="00746197" w:rsidRPr="00944D79">
        <w:rPr>
          <w:rFonts w:cs="Times New Roman"/>
          <w:sz w:val="24"/>
          <w:szCs w:val="24"/>
        </w:rPr>
        <w:t>refer</w:t>
      </w:r>
      <w:r w:rsidRPr="00944D79">
        <w:rPr>
          <w:rFonts w:cs="Times New Roman"/>
          <w:sz w:val="24"/>
          <w:szCs w:val="24"/>
        </w:rPr>
        <w:t>s to</w:t>
      </w:r>
      <w:r w:rsidR="00746197" w:rsidRPr="00944D79">
        <w:rPr>
          <w:rFonts w:cs="Times New Roman"/>
          <w:sz w:val="24"/>
          <w:szCs w:val="24"/>
        </w:rPr>
        <w:t xml:space="preserve"> the </w:t>
      </w:r>
      <w:r w:rsidRPr="00944D79">
        <w:rPr>
          <w:rFonts w:cs="Times New Roman"/>
          <w:sz w:val="24"/>
          <w:szCs w:val="24"/>
        </w:rPr>
        <w:t xml:space="preserve">Guarantee Management </w:t>
      </w:r>
      <w:r w:rsidR="00746197" w:rsidRPr="00944D79">
        <w:rPr>
          <w:rFonts w:cs="Times New Roman"/>
          <w:sz w:val="24"/>
          <w:szCs w:val="24"/>
        </w:rPr>
        <w:t>system</w:t>
      </w:r>
      <w:r w:rsidRPr="00944D79">
        <w:rPr>
          <w:rFonts w:cs="Times New Roman"/>
          <w:sz w:val="24"/>
          <w:szCs w:val="24"/>
        </w:rPr>
        <w:t xml:space="preserve"> (GUM)</w:t>
      </w:r>
      <w:r w:rsidR="00746197" w:rsidRPr="00944D79">
        <w:rPr>
          <w:rFonts w:cs="Times New Roman"/>
          <w:sz w:val="24"/>
          <w:szCs w:val="24"/>
        </w:rPr>
        <w:t xml:space="preserve">, </w:t>
      </w:r>
      <w:r w:rsidRPr="00944D79">
        <w:rPr>
          <w:rFonts w:cs="Times New Roman"/>
          <w:sz w:val="24"/>
          <w:szCs w:val="24"/>
        </w:rPr>
        <w:t>the Import Control System (</w:t>
      </w:r>
      <w:r w:rsidR="00746197" w:rsidRPr="00944D79">
        <w:rPr>
          <w:rFonts w:cs="Times New Roman"/>
          <w:sz w:val="24"/>
          <w:szCs w:val="24"/>
        </w:rPr>
        <w:t>ICS2</w:t>
      </w:r>
      <w:r w:rsidRPr="00944D79">
        <w:rPr>
          <w:rFonts w:cs="Times New Roman"/>
          <w:sz w:val="24"/>
          <w:szCs w:val="24"/>
        </w:rPr>
        <w:t>)</w:t>
      </w:r>
      <w:r w:rsidR="00746197" w:rsidRPr="00944D79">
        <w:rPr>
          <w:rFonts w:cs="Times New Roman"/>
          <w:sz w:val="24"/>
          <w:szCs w:val="24"/>
        </w:rPr>
        <w:t xml:space="preserve">, </w:t>
      </w:r>
      <w:r w:rsidRPr="00944D79">
        <w:rPr>
          <w:rFonts w:cs="Times New Roman"/>
          <w:sz w:val="24"/>
          <w:szCs w:val="24"/>
        </w:rPr>
        <w:t>the Proof of Union Status system (</w:t>
      </w:r>
      <w:proofErr w:type="spellStart"/>
      <w:r w:rsidR="00746197" w:rsidRPr="00944D79">
        <w:rPr>
          <w:rFonts w:cs="Times New Roman"/>
          <w:sz w:val="24"/>
          <w:szCs w:val="24"/>
        </w:rPr>
        <w:t>PoUS</w:t>
      </w:r>
      <w:proofErr w:type="spellEnd"/>
      <w:r w:rsidRPr="00944D79">
        <w:rPr>
          <w:rFonts w:cs="Times New Roman"/>
          <w:sz w:val="24"/>
          <w:szCs w:val="24"/>
        </w:rPr>
        <w:t>)</w:t>
      </w:r>
      <w:r w:rsidR="00746197" w:rsidRPr="00944D79">
        <w:rPr>
          <w:rFonts w:cs="Times New Roman"/>
          <w:sz w:val="24"/>
          <w:szCs w:val="24"/>
        </w:rPr>
        <w:t xml:space="preserve">, </w:t>
      </w:r>
      <w:r w:rsidRPr="00944D79">
        <w:rPr>
          <w:rFonts w:cs="Times New Roman"/>
          <w:sz w:val="24"/>
          <w:szCs w:val="24"/>
        </w:rPr>
        <w:t xml:space="preserve">the </w:t>
      </w:r>
      <w:r w:rsidR="00746197" w:rsidRPr="00944D79">
        <w:rPr>
          <w:rFonts w:cs="Times New Roman"/>
          <w:sz w:val="24"/>
          <w:szCs w:val="24"/>
        </w:rPr>
        <w:t xml:space="preserve">Centralised Clearance </w:t>
      </w:r>
      <w:r w:rsidRPr="00944D79">
        <w:rPr>
          <w:rFonts w:cs="Times New Roman"/>
          <w:sz w:val="24"/>
          <w:szCs w:val="24"/>
        </w:rPr>
        <w:t xml:space="preserve">for Import </w:t>
      </w:r>
      <w:r w:rsidR="00746197" w:rsidRPr="00944D79">
        <w:rPr>
          <w:rFonts w:cs="Times New Roman"/>
          <w:sz w:val="24"/>
          <w:szCs w:val="24"/>
        </w:rPr>
        <w:t>system</w:t>
      </w:r>
      <w:r w:rsidRPr="00944D79">
        <w:rPr>
          <w:rFonts w:cs="Times New Roman"/>
          <w:sz w:val="24"/>
          <w:szCs w:val="24"/>
        </w:rPr>
        <w:t xml:space="preserve"> (CCI)</w:t>
      </w:r>
      <w:r w:rsidR="00746197" w:rsidRPr="00944D79">
        <w:rPr>
          <w:rFonts w:cs="Times New Roman"/>
          <w:sz w:val="24"/>
          <w:szCs w:val="24"/>
        </w:rPr>
        <w:t xml:space="preserve">, </w:t>
      </w:r>
      <w:r w:rsidRPr="00944D79">
        <w:rPr>
          <w:rFonts w:cs="Times New Roman"/>
          <w:sz w:val="24"/>
          <w:szCs w:val="24"/>
        </w:rPr>
        <w:t>the New Computerised Transit System (NCTS), t</w:t>
      </w:r>
      <w:r w:rsidR="00746197" w:rsidRPr="00944D79">
        <w:rPr>
          <w:rFonts w:cs="Times New Roman"/>
          <w:sz w:val="24"/>
          <w:szCs w:val="24"/>
        </w:rPr>
        <w:t xml:space="preserve">he export component of the Special procedures system, </w:t>
      </w:r>
      <w:r w:rsidRPr="00944D79">
        <w:rPr>
          <w:rFonts w:cs="Times New Roman"/>
          <w:sz w:val="24"/>
          <w:szCs w:val="24"/>
        </w:rPr>
        <w:t xml:space="preserve">the Automated Export System (AES) </w:t>
      </w:r>
      <w:r w:rsidR="00746197" w:rsidRPr="00944D79">
        <w:rPr>
          <w:rFonts w:cs="Times New Roman"/>
          <w:sz w:val="24"/>
          <w:szCs w:val="24"/>
        </w:rPr>
        <w:t xml:space="preserve">and the </w:t>
      </w:r>
      <w:r w:rsidRPr="00944D79">
        <w:rPr>
          <w:rFonts w:cs="Times New Roman"/>
          <w:sz w:val="24"/>
          <w:szCs w:val="24"/>
        </w:rPr>
        <w:t>N</w:t>
      </w:r>
      <w:r w:rsidR="00746197" w:rsidRPr="00944D79">
        <w:rPr>
          <w:rFonts w:cs="Times New Roman"/>
          <w:sz w:val="24"/>
          <w:szCs w:val="24"/>
        </w:rPr>
        <w:t xml:space="preserve">ational </w:t>
      </w:r>
      <w:r w:rsidRPr="00944D79">
        <w:rPr>
          <w:rFonts w:cs="Times New Roman"/>
          <w:sz w:val="24"/>
          <w:szCs w:val="24"/>
        </w:rPr>
        <w:t>E</w:t>
      </w:r>
      <w:r w:rsidR="00746197" w:rsidRPr="00944D79">
        <w:rPr>
          <w:rFonts w:cs="Times New Roman"/>
          <w:sz w:val="24"/>
          <w:szCs w:val="24"/>
        </w:rPr>
        <w:t xml:space="preserve">xport </w:t>
      </w:r>
      <w:r w:rsidRPr="00944D79">
        <w:rPr>
          <w:rFonts w:cs="Times New Roman"/>
          <w:sz w:val="24"/>
          <w:szCs w:val="24"/>
        </w:rPr>
        <w:t>S</w:t>
      </w:r>
      <w:r w:rsidR="00746197" w:rsidRPr="00944D79">
        <w:rPr>
          <w:rFonts w:cs="Times New Roman"/>
          <w:sz w:val="24"/>
          <w:szCs w:val="24"/>
        </w:rPr>
        <w:t>ystems)</w:t>
      </w:r>
      <w:r w:rsidRPr="00944D79">
        <w:rPr>
          <w:rFonts w:cs="Times New Roman"/>
          <w:sz w:val="24"/>
          <w:szCs w:val="24"/>
        </w:rPr>
        <w:t>.</w:t>
      </w:r>
    </w:p>
    <w:p w:rsidR="006353A2" w:rsidRDefault="00E75E5E" w:rsidP="00AE565C">
      <w:pPr>
        <w:jc w:val="both"/>
        <w:rPr>
          <w:sz w:val="24"/>
        </w:rPr>
      </w:pPr>
      <w:r>
        <w:rPr>
          <w:sz w:val="24"/>
        </w:rPr>
        <w:t>The extension</w:t>
      </w:r>
      <w:r w:rsidR="00CE2ACB">
        <w:rPr>
          <w:sz w:val="24"/>
        </w:rPr>
        <w:t xml:space="preserve"> of the deadline</w:t>
      </w:r>
      <w:r>
        <w:rPr>
          <w:sz w:val="24"/>
        </w:rPr>
        <w:t xml:space="preserve"> </w:t>
      </w:r>
      <w:r w:rsidR="00944D79">
        <w:rPr>
          <w:sz w:val="24"/>
        </w:rPr>
        <w:t>for</w:t>
      </w:r>
      <w:r w:rsidR="00D75E5A" w:rsidRPr="00D75E5A">
        <w:rPr>
          <w:sz w:val="24"/>
        </w:rPr>
        <w:t xml:space="preserve"> the transitional use of means other than electronic data-</w:t>
      </w:r>
      <w:r w:rsidR="00D75E5A" w:rsidRPr="007967AB">
        <w:rPr>
          <w:sz w:val="24"/>
        </w:rPr>
        <w:t>processing techniques</w:t>
      </w:r>
      <w:r w:rsidRPr="007967AB">
        <w:rPr>
          <w:sz w:val="24"/>
        </w:rPr>
        <w:t xml:space="preserve"> does not </w:t>
      </w:r>
      <w:r w:rsidR="00944D79" w:rsidRPr="007967AB">
        <w:rPr>
          <w:sz w:val="24"/>
        </w:rPr>
        <w:t>dispense with</w:t>
      </w:r>
      <w:r w:rsidRPr="007967AB">
        <w:rPr>
          <w:sz w:val="24"/>
        </w:rPr>
        <w:t xml:space="preserve"> the obligation for the Member States to proceed with the re-assessment of </w:t>
      </w:r>
      <w:r w:rsidR="00CE2ACB" w:rsidRPr="007967AB">
        <w:rPr>
          <w:sz w:val="24"/>
        </w:rPr>
        <w:t xml:space="preserve">the </w:t>
      </w:r>
      <w:r w:rsidRPr="007967AB">
        <w:rPr>
          <w:sz w:val="24"/>
        </w:rPr>
        <w:t>authorisations</w:t>
      </w:r>
      <w:r w:rsidR="00CE2ACB" w:rsidRPr="007967AB">
        <w:rPr>
          <w:sz w:val="24"/>
        </w:rPr>
        <w:t xml:space="preserve"> or with the obligation to grant the new authorisations only where the </w:t>
      </w:r>
      <w:r w:rsidR="0023714B" w:rsidRPr="007967AB">
        <w:rPr>
          <w:sz w:val="24"/>
        </w:rPr>
        <w:t xml:space="preserve">criteria and conditions in the UCC and its </w:t>
      </w:r>
      <w:r w:rsidR="00CE2ACB" w:rsidRPr="00F57465">
        <w:rPr>
          <w:sz w:val="24"/>
        </w:rPr>
        <w:t xml:space="preserve">delegated </w:t>
      </w:r>
      <w:r w:rsidR="0023714B" w:rsidRPr="007967AB">
        <w:rPr>
          <w:sz w:val="24"/>
        </w:rPr>
        <w:t xml:space="preserve">and </w:t>
      </w:r>
      <w:r w:rsidR="00CE2ACB" w:rsidRPr="00F57465">
        <w:rPr>
          <w:sz w:val="24"/>
        </w:rPr>
        <w:t xml:space="preserve">implementing </w:t>
      </w:r>
      <w:r w:rsidR="0023714B" w:rsidRPr="007967AB">
        <w:rPr>
          <w:sz w:val="24"/>
        </w:rPr>
        <w:t>regulations</w:t>
      </w:r>
      <w:r w:rsidRPr="007967AB">
        <w:rPr>
          <w:sz w:val="24"/>
        </w:rPr>
        <w:t xml:space="preserve"> </w:t>
      </w:r>
      <w:r w:rsidR="00CE2ACB" w:rsidRPr="007967AB">
        <w:rPr>
          <w:sz w:val="24"/>
        </w:rPr>
        <w:t xml:space="preserve">are met </w:t>
      </w:r>
      <w:r w:rsidR="006D34AE" w:rsidRPr="007967AB">
        <w:rPr>
          <w:sz w:val="24"/>
        </w:rPr>
        <w:t>before</w:t>
      </w:r>
      <w:r w:rsidR="00AE565C" w:rsidRPr="007967AB">
        <w:rPr>
          <w:sz w:val="24"/>
        </w:rPr>
        <w:t xml:space="preserve"> 1 May 2019 at the latest</w:t>
      </w:r>
      <w:r w:rsidRPr="007967AB">
        <w:rPr>
          <w:sz w:val="24"/>
        </w:rPr>
        <w:t xml:space="preserve">. </w:t>
      </w:r>
      <w:r w:rsidR="0023714B" w:rsidRPr="007967AB">
        <w:rPr>
          <w:sz w:val="24"/>
        </w:rPr>
        <w:t>This means for instance that where a guarantee needs to be provided</w:t>
      </w:r>
      <w:r w:rsidR="00CE2ACB" w:rsidRPr="00F57465">
        <w:rPr>
          <w:sz w:val="24"/>
        </w:rPr>
        <w:t>,</w:t>
      </w:r>
      <w:r w:rsidR="0023714B" w:rsidRPr="007967AB">
        <w:rPr>
          <w:sz w:val="24"/>
        </w:rPr>
        <w:t xml:space="preserve"> the </w:t>
      </w:r>
      <w:r w:rsidR="00CE2ACB" w:rsidRPr="00F57465">
        <w:rPr>
          <w:sz w:val="24"/>
        </w:rPr>
        <w:t xml:space="preserve">new authorisation can be granted only if the </w:t>
      </w:r>
      <w:r w:rsidR="0023714B" w:rsidRPr="007967AB">
        <w:rPr>
          <w:sz w:val="24"/>
        </w:rPr>
        <w:t xml:space="preserve">guarantee </w:t>
      </w:r>
      <w:r w:rsidR="00CE2ACB" w:rsidRPr="00F57465">
        <w:rPr>
          <w:sz w:val="24"/>
        </w:rPr>
        <w:t xml:space="preserve">is </w:t>
      </w:r>
      <w:r w:rsidR="0023714B" w:rsidRPr="007967AB">
        <w:rPr>
          <w:sz w:val="24"/>
        </w:rPr>
        <w:t xml:space="preserve">in place in accordance with the </w:t>
      </w:r>
      <w:r w:rsidR="00CE2ACB" w:rsidRPr="00F57465">
        <w:rPr>
          <w:sz w:val="24"/>
        </w:rPr>
        <w:t>UCC</w:t>
      </w:r>
      <w:r w:rsidR="0023714B" w:rsidRPr="007967AB">
        <w:rPr>
          <w:sz w:val="24"/>
        </w:rPr>
        <w:t xml:space="preserve"> at the latest on 1 May 2019.</w:t>
      </w:r>
      <w:r w:rsidR="0023714B">
        <w:rPr>
          <w:sz w:val="24"/>
        </w:rPr>
        <w:t xml:space="preserve">  </w:t>
      </w:r>
    </w:p>
    <w:p w:rsidR="007967AB" w:rsidRPr="00C5141D" w:rsidRDefault="007967AB" w:rsidP="007967AB">
      <w:pPr>
        <w:jc w:val="both"/>
        <w:rPr>
          <w:sz w:val="24"/>
        </w:rPr>
      </w:pPr>
      <w:r>
        <w:rPr>
          <w:sz w:val="24"/>
        </w:rPr>
        <w:lastRenderedPageBreak/>
        <w:t>A separate matter is</w:t>
      </w:r>
      <w:r w:rsidRPr="00C5141D">
        <w:rPr>
          <w:sz w:val="24"/>
        </w:rPr>
        <w:t xml:space="preserve"> the monitoring of the guarantees, </w:t>
      </w:r>
      <w:r>
        <w:rPr>
          <w:sz w:val="24"/>
        </w:rPr>
        <w:t>which</w:t>
      </w:r>
      <w:r w:rsidRPr="00C5141D">
        <w:rPr>
          <w:sz w:val="24"/>
        </w:rPr>
        <w:t xml:space="preserve"> falls within the scope of the future GUM system</w:t>
      </w:r>
      <w:r>
        <w:rPr>
          <w:sz w:val="24"/>
        </w:rPr>
        <w:t xml:space="preserve">. The </w:t>
      </w:r>
      <w:r w:rsidRPr="00C5141D">
        <w:rPr>
          <w:sz w:val="24"/>
        </w:rPr>
        <w:t xml:space="preserve">deployment deadline </w:t>
      </w:r>
      <w:r>
        <w:rPr>
          <w:sz w:val="24"/>
        </w:rPr>
        <w:t xml:space="preserve">for that system has been </w:t>
      </w:r>
      <w:r w:rsidRPr="00C5141D">
        <w:rPr>
          <w:sz w:val="24"/>
        </w:rPr>
        <w:t>shifted to 2025 at the latest</w:t>
      </w:r>
      <w:r>
        <w:rPr>
          <w:sz w:val="24"/>
        </w:rPr>
        <w:t xml:space="preserve">. </w:t>
      </w:r>
      <w:r w:rsidRPr="00C5141D">
        <w:rPr>
          <w:sz w:val="24"/>
        </w:rPr>
        <w:t xml:space="preserve">However, GUM </w:t>
      </w:r>
      <w:r>
        <w:rPr>
          <w:sz w:val="24"/>
        </w:rPr>
        <w:t>has</w:t>
      </w:r>
      <w:r w:rsidRPr="00C5141D">
        <w:rPr>
          <w:sz w:val="24"/>
        </w:rPr>
        <w:t xml:space="preserve"> no impact on the decisions to authorise the use of a comprehensive guarantee (which form part of the CDMS). GUM will allow proper monitoring of those guarantees, which is </w:t>
      </w:r>
      <w:r>
        <w:rPr>
          <w:sz w:val="24"/>
        </w:rPr>
        <w:t>a</w:t>
      </w:r>
      <w:r w:rsidRPr="00C5141D">
        <w:rPr>
          <w:sz w:val="24"/>
        </w:rPr>
        <w:t xml:space="preserve"> different</w:t>
      </w:r>
      <w:r>
        <w:rPr>
          <w:sz w:val="24"/>
        </w:rPr>
        <w:t xml:space="preserve"> matter</w:t>
      </w:r>
      <w:r w:rsidRPr="00C5141D">
        <w:rPr>
          <w:sz w:val="24"/>
        </w:rPr>
        <w:t>.</w:t>
      </w:r>
    </w:p>
    <w:p w:rsidR="009C4C7C" w:rsidRDefault="009C4C7C" w:rsidP="00AE565C">
      <w:pPr>
        <w:jc w:val="both"/>
        <w:rPr>
          <w:sz w:val="24"/>
        </w:rPr>
      </w:pPr>
    </w:p>
    <w:p w:rsidR="00981B7F" w:rsidRDefault="00157C26" w:rsidP="00AE565C">
      <w:pPr>
        <w:jc w:val="both"/>
        <w:rPr>
          <w:b/>
          <w:sz w:val="24"/>
        </w:rPr>
      </w:pPr>
      <w:r>
        <w:rPr>
          <w:b/>
          <w:sz w:val="24"/>
        </w:rPr>
        <w:t>Implementation of the national re-assessment planning</w:t>
      </w:r>
    </w:p>
    <w:p w:rsidR="009A29FD" w:rsidRDefault="009A29FD" w:rsidP="00AE565C">
      <w:pPr>
        <w:jc w:val="both"/>
        <w:rPr>
          <w:sz w:val="24"/>
        </w:rPr>
      </w:pPr>
      <w:r w:rsidRPr="009A29FD">
        <w:rPr>
          <w:sz w:val="24"/>
        </w:rPr>
        <w:t>The Commission reminds</w:t>
      </w:r>
      <w:r>
        <w:rPr>
          <w:sz w:val="24"/>
        </w:rPr>
        <w:t xml:space="preserve"> Member States that no exception is provided for in respect to the obligation to re-assess all authorisations by 1 May 2019. </w:t>
      </w:r>
    </w:p>
    <w:p w:rsidR="007B7F69" w:rsidRDefault="009A29FD" w:rsidP="009A29FD">
      <w:pPr>
        <w:jc w:val="both"/>
        <w:rPr>
          <w:sz w:val="24"/>
        </w:rPr>
      </w:pPr>
      <w:r>
        <w:rPr>
          <w:sz w:val="24"/>
        </w:rPr>
        <w:t xml:space="preserve">In case the national administrations do not re-assess the authorisations </w:t>
      </w:r>
      <w:r w:rsidR="00944D79">
        <w:rPr>
          <w:sz w:val="24"/>
        </w:rPr>
        <w:t>by 1 May 2019</w:t>
      </w:r>
      <w:r>
        <w:rPr>
          <w:sz w:val="24"/>
        </w:rPr>
        <w:t xml:space="preserve">, economic operators </w:t>
      </w:r>
      <w:r w:rsidR="007967AB">
        <w:rPr>
          <w:sz w:val="24"/>
        </w:rPr>
        <w:t xml:space="preserve">should prima facie </w:t>
      </w:r>
      <w:r w:rsidR="003F7BBA">
        <w:rPr>
          <w:sz w:val="24"/>
        </w:rPr>
        <w:t xml:space="preserve">be allowed to </w:t>
      </w:r>
      <w:r w:rsidR="00DE21EB">
        <w:rPr>
          <w:sz w:val="24"/>
        </w:rPr>
        <w:t>continue to</w:t>
      </w:r>
      <w:r>
        <w:rPr>
          <w:sz w:val="24"/>
        </w:rPr>
        <w:t xml:space="preserve"> use </w:t>
      </w:r>
      <w:r w:rsidR="00DE21EB">
        <w:rPr>
          <w:sz w:val="24"/>
        </w:rPr>
        <w:t>their authorisations</w:t>
      </w:r>
      <w:r>
        <w:rPr>
          <w:sz w:val="24"/>
        </w:rPr>
        <w:t>.</w:t>
      </w:r>
      <w:r w:rsidR="003F7BBA">
        <w:rPr>
          <w:sz w:val="24"/>
        </w:rPr>
        <w:t xml:space="preserve"> </w:t>
      </w:r>
      <w:r w:rsidR="00DE21EB">
        <w:rPr>
          <w:sz w:val="24"/>
        </w:rPr>
        <w:t>S</w:t>
      </w:r>
      <w:r w:rsidR="003F7BBA">
        <w:rPr>
          <w:sz w:val="24"/>
        </w:rPr>
        <w:t>uch a</w:t>
      </w:r>
      <w:r w:rsidR="00DE21EB">
        <w:rPr>
          <w:sz w:val="24"/>
        </w:rPr>
        <w:t xml:space="preserve"> situation c</w:t>
      </w:r>
      <w:r w:rsidR="003F7BBA">
        <w:rPr>
          <w:sz w:val="24"/>
        </w:rPr>
        <w:t xml:space="preserve">ould result in </w:t>
      </w:r>
      <w:r w:rsidR="00944D79">
        <w:rPr>
          <w:sz w:val="24"/>
        </w:rPr>
        <w:t xml:space="preserve">non-application of guarantees and </w:t>
      </w:r>
      <w:r w:rsidR="003F7BBA">
        <w:rPr>
          <w:sz w:val="24"/>
        </w:rPr>
        <w:t xml:space="preserve">non-recovery of the </w:t>
      </w:r>
      <w:r w:rsidR="00981B7F">
        <w:rPr>
          <w:sz w:val="24"/>
        </w:rPr>
        <w:t>c</w:t>
      </w:r>
      <w:r w:rsidR="00DE21EB">
        <w:rPr>
          <w:sz w:val="24"/>
        </w:rPr>
        <w:t>ustoms debt and therefore create</w:t>
      </w:r>
      <w:r w:rsidR="003F7BBA">
        <w:rPr>
          <w:sz w:val="24"/>
        </w:rPr>
        <w:t xml:space="preserve"> a risk that the Member </w:t>
      </w:r>
      <w:r w:rsidR="00DE21EB">
        <w:rPr>
          <w:sz w:val="24"/>
        </w:rPr>
        <w:t>S</w:t>
      </w:r>
      <w:r w:rsidR="003F7BBA">
        <w:rPr>
          <w:sz w:val="24"/>
        </w:rPr>
        <w:t xml:space="preserve">tate </w:t>
      </w:r>
      <w:r w:rsidR="00944D79">
        <w:rPr>
          <w:sz w:val="24"/>
        </w:rPr>
        <w:t>would be</w:t>
      </w:r>
      <w:r w:rsidR="003F7BBA">
        <w:rPr>
          <w:sz w:val="24"/>
        </w:rPr>
        <w:t xml:space="preserve"> held responsible</w:t>
      </w:r>
      <w:r w:rsidR="00944D79">
        <w:rPr>
          <w:sz w:val="24"/>
        </w:rPr>
        <w:t xml:space="preserve"> for that debt</w:t>
      </w:r>
      <w:r w:rsidR="003F7BBA">
        <w:rPr>
          <w:sz w:val="24"/>
        </w:rPr>
        <w:t>.</w:t>
      </w:r>
      <w:r>
        <w:rPr>
          <w:sz w:val="24"/>
        </w:rPr>
        <w:t xml:space="preserve"> </w:t>
      </w:r>
    </w:p>
    <w:p w:rsidR="009A29FD" w:rsidRPr="009A29FD" w:rsidRDefault="009A29FD" w:rsidP="009A29FD">
      <w:pPr>
        <w:jc w:val="both"/>
        <w:rPr>
          <w:sz w:val="24"/>
        </w:rPr>
      </w:pPr>
      <w:r>
        <w:rPr>
          <w:sz w:val="24"/>
        </w:rPr>
        <w:t xml:space="preserve">The Commission is available to offer </w:t>
      </w:r>
      <w:r w:rsidR="00944D79">
        <w:rPr>
          <w:sz w:val="24"/>
        </w:rPr>
        <w:t xml:space="preserve">any </w:t>
      </w:r>
      <w:r>
        <w:rPr>
          <w:sz w:val="24"/>
        </w:rPr>
        <w:t xml:space="preserve">support and advice that </w:t>
      </w:r>
      <w:r w:rsidR="00944D79">
        <w:rPr>
          <w:sz w:val="24"/>
        </w:rPr>
        <w:t xml:space="preserve">any </w:t>
      </w:r>
      <w:r>
        <w:rPr>
          <w:sz w:val="24"/>
        </w:rPr>
        <w:t xml:space="preserve">national administration may need </w:t>
      </w:r>
      <w:r w:rsidR="00F24D37">
        <w:rPr>
          <w:sz w:val="24"/>
        </w:rPr>
        <w:t>with regard to how individual authorisations sh</w:t>
      </w:r>
      <w:r w:rsidR="00944D79">
        <w:rPr>
          <w:sz w:val="24"/>
        </w:rPr>
        <w:t xml:space="preserve">ould </w:t>
      </w:r>
      <w:r w:rsidR="00F24D37">
        <w:rPr>
          <w:sz w:val="24"/>
        </w:rPr>
        <w:t>be re-assessed</w:t>
      </w:r>
      <w:r w:rsidR="0022658B">
        <w:rPr>
          <w:sz w:val="24"/>
        </w:rPr>
        <w:t xml:space="preserve">, in order for </w:t>
      </w:r>
      <w:r w:rsidR="00944D79">
        <w:rPr>
          <w:sz w:val="24"/>
        </w:rPr>
        <w:t>the procedure</w:t>
      </w:r>
      <w:r w:rsidR="0022658B">
        <w:rPr>
          <w:sz w:val="24"/>
        </w:rPr>
        <w:t xml:space="preserve"> to be carried out in the smoothest and </w:t>
      </w:r>
      <w:r w:rsidR="00944D79">
        <w:rPr>
          <w:sz w:val="24"/>
        </w:rPr>
        <w:t xml:space="preserve">most </w:t>
      </w:r>
      <w:r w:rsidR="0022658B">
        <w:rPr>
          <w:sz w:val="24"/>
        </w:rPr>
        <w:t>effective way.</w:t>
      </w:r>
      <w:r w:rsidR="00F24D37">
        <w:rPr>
          <w:sz w:val="24"/>
        </w:rPr>
        <w:t xml:space="preserve"> </w:t>
      </w:r>
      <w:r w:rsidR="00DF7381" w:rsidRPr="00DF7381">
        <w:rPr>
          <w:sz w:val="24"/>
        </w:rPr>
        <w:t xml:space="preserve">In this sense, the mobilisation of the Customs 2020 programme may be beneficial to address the subject and to identify good practices and provide guidance in the matter. Activities, such as workshops, project groups, working visits under the Programme </w:t>
      </w:r>
      <w:r w:rsidR="00E62FF4" w:rsidRPr="00E62FF4">
        <w:rPr>
          <w:sz w:val="24"/>
        </w:rPr>
        <w:t>https://www.aeat/wlpl/iniinvoc/es.aeat.dit.adu.adoe.full.nac.gesnac.QueryCerti</w:t>
      </w:r>
      <w:r w:rsidR="00DF7381" w:rsidRPr="00DF7381">
        <w:rPr>
          <w:sz w:val="24"/>
        </w:rPr>
        <w:t xml:space="preserve">can facilitate the cooperation between the Member States and the Commission, and also amongst the Member States themselves. </w:t>
      </w:r>
    </w:p>
    <w:p w:rsidR="006C4212" w:rsidRDefault="0045508E" w:rsidP="00AE565C">
      <w:pPr>
        <w:jc w:val="both"/>
        <w:rPr>
          <w:sz w:val="24"/>
        </w:rPr>
      </w:pPr>
      <w:r>
        <w:rPr>
          <w:sz w:val="24"/>
        </w:rPr>
        <w:t>The Commission would appreciate if Member States could raise in the meeting on 27 April any issue or problem they encountered in the re-assessment process and discuss the state of play of their plans.</w:t>
      </w:r>
    </w:p>
    <w:p w:rsidR="00C9181A" w:rsidRDefault="00C9181A" w:rsidP="00AE565C">
      <w:pPr>
        <w:jc w:val="both"/>
        <w:rPr>
          <w:sz w:val="24"/>
        </w:rPr>
      </w:pPr>
    </w:p>
    <w:p w:rsidR="00C9181A" w:rsidRDefault="00C9181A" w:rsidP="00AE565C">
      <w:pPr>
        <w:jc w:val="both"/>
        <w:rPr>
          <w:sz w:val="24"/>
        </w:rPr>
      </w:pPr>
    </w:p>
    <w:p w:rsidR="0045508E" w:rsidRPr="00976082" w:rsidRDefault="0045508E" w:rsidP="00AE565C">
      <w:pPr>
        <w:jc w:val="both"/>
        <w:rPr>
          <w:sz w:val="24"/>
        </w:rPr>
      </w:pPr>
    </w:p>
    <w:sectPr w:rsidR="0045508E" w:rsidRPr="0097608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CC8" w:rsidRDefault="00830CC8" w:rsidP="00E8594F">
      <w:pPr>
        <w:spacing w:after="0" w:line="240" w:lineRule="auto"/>
      </w:pPr>
      <w:r>
        <w:separator/>
      </w:r>
    </w:p>
  </w:endnote>
  <w:endnote w:type="continuationSeparator" w:id="0">
    <w:p w:rsidR="00830CC8" w:rsidRDefault="00830CC8" w:rsidP="00E8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65" w:rsidRDefault="00F574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525830"/>
      <w:docPartObj>
        <w:docPartGallery w:val="Page Numbers (Bottom of Page)"/>
        <w:docPartUnique/>
      </w:docPartObj>
    </w:sdtPr>
    <w:sdtEndPr>
      <w:rPr>
        <w:noProof/>
      </w:rPr>
    </w:sdtEndPr>
    <w:sdtContent>
      <w:p w:rsidR="00F57465" w:rsidRDefault="00F57465">
        <w:pPr>
          <w:pStyle w:val="Piedepgina"/>
          <w:jc w:val="right"/>
        </w:pPr>
        <w:r>
          <w:fldChar w:fldCharType="begin"/>
        </w:r>
        <w:r>
          <w:instrText xml:space="preserve"> PAGE   \* MERGEFORMAT </w:instrText>
        </w:r>
        <w:r>
          <w:fldChar w:fldCharType="separate"/>
        </w:r>
        <w:r w:rsidR="00E62FF4">
          <w:rPr>
            <w:noProof/>
          </w:rPr>
          <w:t>4</w:t>
        </w:r>
        <w:r>
          <w:rPr>
            <w:noProof/>
          </w:rPr>
          <w:fldChar w:fldCharType="end"/>
        </w:r>
      </w:p>
    </w:sdtContent>
  </w:sdt>
  <w:p w:rsidR="00F57465" w:rsidRDefault="00F574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65" w:rsidRDefault="00F574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CC8" w:rsidRDefault="00830CC8" w:rsidP="00E8594F">
      <w:pPr>
        <w:spacing w:after="0" w:line="240" w:lineRule="auto"/>
      </w:pPr>
      <w:r>
        <w:separator/>
      </w:r>
    </w:p>
  </w:footnote>
  <w:footnote w:type="continuationSeparator" w:id="0">
    <w:p w:rsidR="00830CC8" w:rsidRDefault="00830CC8" w:rsidP="00E8594F">
      <w:pPr>
        <w:spacing w:after="0" w:line="240" w:lineRule="auto"/>
      </w:pPr>
      <w:r>
        <w:continuationSeparator/>
      </w:r>
    </w:p>
  </w:footnote>
  <w:footnote w:id="1">
    <w:p w:rsidR="00E8594F" w:rsidRPr="00D353EC" w:rsidRDefault="00E8594F" w:rsidP="00AE565C">
      <w:pPr>
        <w:pStyle w:val="Textonotapie"/>
        <w:spacing w:after="120"/>
        <w:jc w:val="both"/>
        <w:rPr>
          <w:sz w:val="18"/>
        </w:rPr>
      </w:pPr>
      <w:r w:rsidRPr="006412BB">
        <w:rPr>
          <w:rStyle w:val="Refdenotaalpie"/>
          <w:sz w:val="18"/>
        </w:rPr>
        <w:footnoteRef/>
      </w:r>
      <w:r w:rsidRPr="00D353EC">
        <w:rPr>
          <w:sz w:val="18"/>
        </w:rPr>
        <w:t xml:space="preserve"> Council Regulation (EEC) 2913/92 of 12 October 1992 establishing the Community Customs Code (OJ L 302, 19,10.1992, p. 1)</w:t>
      </w:r>
      <w:r w:rsidR="006D34AE">
        <w:rPr>
          <w:sz w:val="18"/>
        </w:rPr>
        <w:t>.</w:t>
      </w:r>
    </w:p>
  </w:footnote>
  <w:footnote w:id="2">
    <w:p w:rsidR="00E8594F" w:rsidRPr="00D353EC" w:rsidRDefault="00E8594F" w:rsidP="00AE565C">
      <w:pPr>
        <w:pStyle w:val="Textonotapie"/>
        <w:spacing w:after="120"/>
        <w:jc w:val="both"/>
        <w:rPr>
          <w:sz w:val="18"/>
        </w:rPr>
      </w:pPr>
      <w:r w:rsidRPr="006412BB">
        <w:rPr>
          <w:rStyle w:val="Refdenotaalpie"/>
          <w:sz w:val="18"/>
        </w:rPr>
        <w:footnoteRef/>
      </w:r>
      <w:r w:rsidRPr="00D353EC">
        <w:rPr>
          <w:sz w:val="18"/>
        </w:rPr>
        <w:t xml:space="preserve"> Commission Regulation (EEC) 2454/93 of 2 July 1993 laying down provisions for the implementation of Council Regulation (EEC) No 2913/92 establishing the Community Customs Code (OJ L 253, 11.10.1993, p. 1)</w:t>
      </w:r>
      <w:r w:rsidR="006D34AE">
        <w:rPr>
          <w:sz w:val="18"/>
        </w:rPr>
        <w:t>.</w:t>
      </w:r>
    </w:p>
  </w:footnote>
  <w:footnote w:id="3">
    <w:p w:rsidR="00E8594F" w:rsidRPr="00D353EC" w:rsidRDefault="00E8594F" w:rsidP="00AE565C">
      <w:pPr>
        <w:pStyle w:val="Textonotapie"/>
        <w:jc w:val="both"/>
        <w:rPr>
          <w:sz w:val="18"/>
        </w:rPr>
      </w:pPr>
      <w:r w:rsidRPr="006412BB">
        <w:rPr>
          <w:rStyle w:val="Refdenotaalpie"/>
          <w:sz w:val="18"/>
        </w:rPr>
        <w:footnoteRef/>
      </w:r>
      <w:r w:rsidRPr="00D353EC">
        <w:rPr>
          <w:sz w:val="18"/>
        </w:rPr>
        <w:t xml:space="preserve"> As </w:t>
      </w:r>
      <w:r w:rsidR="007967AB">
        <w:rPr>
          <w:sz w:val="18"/>
        </w:rPr>
        <w:t xml:space="preserve">an </w:t>
      </w:r>
      <w:r w:rsidRPr="00D353EC">
        <w:rPr>
          <w:sz w:val="18"/>
        </w:rPr>
        <w:t>exception to this rule, the following authorisations shall not be subject to re-assessment and remain valid for the period set out in those authorisations:</w:t>
      </w:r>
    </w:p>
    <w:p w:rsidR="00E8594F" w:rsidRPr="00D353EC" w:rsidRDefault="00E8594F" w:rsidP="00AE565C">
      <w:pPr>
        <w:pStyle w:val="Textonotapie"/>
        <w:numPr>
          <w:ilvl w:val="0"/>
          <w:numId w:val="2"/>
        </w:numPr>
        <w:jc w:val="both"/>
        <w:rPr>
          <w:sz w:val="18"/>
        </w:rPr>
      </w:pPr>
      <w:r w:rsidRPr="00D353EC">
        <w:rPr>
          <w:sz w:val="18"/>
        </w:rPr>
        <w:t>authorisations of exporters for making out invoice declarations as referred to  in Articles 97 and 117 of Regulation (EEC) No2454/93</w:t>
      </w:r>
    </w:p>
    <w:p w:rsidR="00E8594F" w:rsidRDefault="00E8594F" w:rsidP="00AE565C">
      <w:pPr>
        <w:pStyle w:val="Textonotapie"/>
        <w:numPr>
          <w:ilvl w:val="0"/>
          <w:numId w:val="2"/>
        </w:numPr>
        <w:spacing w:after="120"/>
        <w:ind w:left="714" w:hanging="357"/>
        <w:jc w:val="both"/>
        <w:rPr>
          <w:sz w:val="18"/>
        </w:rPr>
      </w:pPr>
      <w:r w:rsidRPr="00D353EC">
        <w:rPr>
          <w:sz w:val="18"/>
        </w:rPr>
        <w:t>authorisations for the management of materials using the accounting segregation method as referred to in Article 88 of Regulation (EEC) No 2454/93.</w:t>
      </w:r>
    </w:p>
    <w:p w:rsidR="00BF4BA4" w:rsidRDefault="00BF4BA4" w:rsidP="00BF4BA4">
      <w:pPr>
        <w:pStyle w:val="Textonotapie"/>
        <w:numPr>
          <w:ilvl w:val="0"/>
          <w:numId w:val="2"/>
        </w:numPr>
        <w:spacing w:after="120"/>
        <w:jc w:val="both"/>
        <w:rPr>
          <w:sz w:val="18"/>
        </w:rPr>
      </w:pPr>
      <w:r>
        <w:rPr>
          <w:sz w:val="18"/>
        </w:rPr>
        <w:t>d</w:t>
      </w:r>
      <w:r w:rsidRPr="00BF4BA4">
        <w:rPr>
          <w:sz w:val="18"/>
        </w:rPr>
        <w:t>ecisions relating to binding information already in force on 1 May 2016</w:t>
      </w:r>
      <w:r>
        <w:rPr>
          <w:sz w:val="18"/>
        </w:rPr>
        <w:t xml:space="preserve"> according to Article 252 </w:t>
      </w:r>
      <w:r w:rsidRPr="00BF4BA4">
        <w:rPr>
          <w:sz w:val="18"/>
        </w:rPr>
        <w:t>Regulation 2015/2446</w:t>
      </w:r>
    </w:p>
    <w:p w:rsidR="00BF4BA4" w:rsidRDefault="00093E92" w:rsidP="00093E92">
      <w:pPr>
        <w:pStyle w:val="Textonotapie"/>
        <w:numPr>
          <w:ilvl w:val="0"/>
          <w:numId w:val="2"/>
        </w:numPr>
        <w:spacing w:after="120"/>
        <w:jc w:val="both"/>
        <w:rPr>
          <w:sz w:val="18"/>
        </w:rPr>
      </w:pPr>
      <w:r w:rsidRPr="00093E92">
        <w:rPr>
          <w:sz w:val="18"/>
        </w:rPr>
        <w:t>decision</w:t>
      </w:r>
      <w:r w:rsidRPr="00093E92">
        <w:t xml:space="preserve"> </w:t>
      </w:r>
      <w:r w:rsidRPr="00093E92">
        <w:rPr>
          <w:sz w:val="18"/>
        </w:rPr>
        <w:t>granting deferment of payment for the use of the procedure referred to in Article 226(a) of Regulation (EEC) No 2913/92</w:t>
      </w:r>
      <w:r>
        <w:rPr>
          <w:sz w:val="18"/>
        </w:rPr>
        <w:t xml:space="preserve"> according to Article </w:t>
      </w:r>
      <w:r w:rsidRPr="00093E92">
        <w:rPr>
          <w:sz w:val="18"/>
        </w:rPr>
        <w:t>253(a) of Regulation 2015/2446</w:t>
      </w:r>
    </w:p>
    <w:p w:rsidR="00093E92" w:rsidRPr="00D353EC" w:rsidRDefault="00093E92" w:rsidP="00093E92">
      <w:pPr>
        <w:pStyle w:val="Textonotapie"/>
        <w:numPr>
          <w:ilvl w:val="0"/>
          <w:numId w:val="2"/>
        </w:numPr>
        <w:spacing w:after="120"/>
        <w:jc w:val="both"/>
        <w:rPr>
          <w:sz w:val="18"/>
        </w:rPr>
      </w:pPr>
      <w:r w:rsidRPr="00093E92">
        <w:rPr>
          <w:sz w:val="18"/>
        </w:rPr>
        <w:t>Single Authorisations for Simplified Procedures (SASP) issued in accordance with Regulation (EEC) No 2454/93 and still valid on 1 May 2016 shall remain valid until the respective dates of deployment of the CCI and AES</w:t>
      </w:r>
    </w:p>
  </w:footnote>
  <w:footnote w:id="4">
    <w:p w:rsidR="00E8594F" w:rsidRPr="00D353EC" w:rsidRDefault="00E8594F" w:rsidP="00AE565C">
      <w:pPr>
        <w:pStyle w:val="Textonotapie"/>
        <w:spacing w:after="120"/>
        <w:jc w:val="both"/>
        <w:rPr>
          <w:sz w:val="18"/>
        </w:rPr>
      </w:pPr>
      <w:r w:rsidRPr="00D353EC">
        <w:rPr>
          <w:rStyle w:val="Refdenotaalpie"/>
          <w:sz w:val="18"/>
        </w:rPr>
        <w:footnoteRef/>
      </w:r>
      <w:r w:rsidRPr="00D353EC">
        <w:rPr>
          <w:sz w:val="18"/>
        </w:rPr>
        <w:t xml:space="preserve"> Commission Delegated Regulation (EU) 2015/2446 of 28 July 2015supplementing Regulation (EU) No 952/2013 of the European Parliament and of the Council with regard to detailed rules of specifying some of the provisions of the Union Customs Code (OJ L 343, 29.12.2016, p. 1)</w:t>
      </w:r>
      <w:r w:rsidR="006D34AE">
        <w:rPr>
          <w:sz w:val="18"/>
        </w:rPr>
        <w:t>.</w:t>
      </w:r>
    </w:p>
  </w:footnote>
  <w:footnote w:id="5">
    <w:p w:rsidR="00E8594F" w:rsidRPr="00D353EC" w:rsidRDefault="00E8594F" w:rsidP="00AE565C">
      <w:pPr>
        <w:pStyle w:val="Textonotapie"/>
        <w:jc w:val="both"/>
        <w:rPr>
          <w:sz w:val="18"/>
        </w:rPr>
      </w:pPr>
      <w:r w:rsidRPr="00D353EC">
        <w:rPr>
          <w:rStyle w:val="Refdenotaalpie"/>
          <w:sz w:val="18"/>
        </w:rPr>
        <w:footnoteRef/>
      </w:r>
      <w:r w:rsidRPr="00D353EC">
        <w:rPr>
          <w:sz w:val="18"/>
        </w:rPr>
        <w:t xml:space="preserve"> Commission Implementing Regulation (EU) 2015/2447.of 24 November 2015 laying down detailed rules for implementing certain provisions of Regulation (EU) No 952/2013 of the European Parliament and of the Council laying down the Union Customs Code (OJ L 343, 29.12.2016, p. 558)</w:t>
      </w:r>
      <w:r w:rsidR="006D34AE">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65" w:rsidRDefault="00F574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65" w:rsidRDefault="00F574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65" w:rsidRDefault="00F574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1043D"/>
    <w:multiLevelType w:val="hybridMultilevel"/>
    <w:tmpl w:val="8C9CB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1B04E6"/>
    <w:multiLevelType w:val="hybridMultilevel"/>
    <w:tmpl w:val="A976B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565E3F"/>
    <w:multiLevelType w:val="hybridMultilevel"/>
    <w:tmpl w:val="B324E3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D03FE4"/>
    <w:multiLevelType w:val="hybridMultilevel"/>
    <w:tmpl w:val="AC1C2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8594F"/>
    <w:rsid w:val="00093E92"/>
    <w:rsid w:val="000E77EF"/>
    <w:rsid w:val="000F41C1"/>
    <w:rsid w:val="00157C26"/>
    <w:rsid w:val="00202E5C"/>
    <w:rsid w:val="0022658B"/>
    <w:rsid w:val="0023714B"/>
    <w:rsid w:val="002464DC"/>
    <w:rsid w:val="00291D09"/>
    <w:rsid w:val="00294F4C"/>
    <w:rsid w:val="002C386A"/>
    <w:rsid w:val="0038266F"/>
    <w:rsid w:val="003B082F"/>
    <w:rsid w:val="003F7BBA"/>
    <w:rsid w:val="0045508E"/>
    <w:rsid w:val="004B4B4F"/>
    <w:rsid w:val="004D24B5"/>
    <w:rsid w:val="004E59A6"/>
    <w:rsid w:val="006353A2"/>
    <w:rsid w:val="006A4D4F"/>
    <w:rsid w:val="006C4212"/>
    <w:rsid w:val="006D34AE"/>
    <w:rsid w:val="00746197"/>
    <w:rsid w:val="00774C09"/>
    <w:rsid w:val="007967AB"/>
    <w:rsid w:val="007B5AED"/>
    <w:rsid w:val="007B7F69"/>
    <w:rsid w:val="00830CC8"/>
    <w:rsid w:val="008C1D35"/>
    <w:rsid w:val="008F397D"/>
    <w:rsid w:val="00944D79"/>
    <w:rsid w:val="00976082"/>
    <w:rsid w:val="00981B7F"/>
    <w:rsid w:val="00990AF0"/>
    <w:rsid w:val="009A02D9"/>
    <w:rsid w:val="009A29FD"/>
    <w:rsid w:val="009B3C49"/>
    <w:rsid w:val="009C4C7C"/>
    <w:rsid w:val="009E4788"/>
    <w:rsid w:val="009E59B6"/>
    <w:rsid w:val="00AE565C"/>
    <w:rsid w:val="00B909B2"/>
    <w:rsid w:val="00BC200A"/>
    <w:rsid w:val="00BE63EF"/>
    <w:rsid w:val="00BF4BA4"/>
    <w:rsid w:val="00C9181A"/>
    <w:rsid w:val="00CA57D0"/>
    <w:rsid w:val="00CE2ACB"/>
    <w:rsid w:val="00CF4259"/>
    <w:rsid w:val="00D2434F"/>
    <w:rsid w:val="00D474FE"/>
    <w:rsid w:val="00D72C0C"/>
    <w:rsid w:val="00D75C9B"/>
    <w:rsid w:val="00D75E5A"/>
    <w:rsid w:val="00DD6168"/>
    <w:rsid w:val="00DE21EB"/>
    <w:rsid w:val="00DF7381"/>
    <w:rsid w:val="00E62FF4"/>
    <w:rsid w:val="00E75E5E"/>
    <w:rsid w:val="00E8594F"/>
    <w:rsid w:val="00F24D37"/>
    <w:rsid w:val="00F57465"/>
    <w:rsid w:val="00FA4A6B"/>
    <w:rsid w:val="00FC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37B2F-760C-4A8F-8E40-F0847432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859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594F"/>
    <w:rPr>
      <w:sz w:val="20"/>
      <w:szCs w:val="20"/>
    </w:rPr>
  </w:style>
  <w:style w:type="character" w:styleId="Refdenotaalpie">
    <w:name w:val="footnote reference"/>
    <w:basedOn w:val="Fuentedeprrafopredeter"/>
    <w:uiPriority w:val="99"/>
    <w:semiHidden/>
    <w:unhideWhenUsed/>
    <w:rsid w:val="00E8594F"/>
    <w:rPr>
      <w:vertAlign w:val="superscript"/>
    </w:rPr>
  </w:style>
  <w:style w:type="paragraph" w:styleId="Textodeglobo">
    <w:name w:val="Balloon Text"/>
    <w:basedOn w:val="Normal"/>
    <w:link w:val="TextodegloboCar"/>
    <w:uiPriority w:val="99"/>
    <w:semiHidden/>
    <w:unhideWhenUsed/>
    <w:rsid w:val="00E859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94F"/>
    <w:rPr>
      <w:rFonts w:ascii="Tahoma" w:hAnsi="Tahoma" w:cs="Tahoma"/>
      <w:sz w:val="16"/>
      <w:szCs w:val="16"/>
    </w:rPr>
  </w:style>
  <w:style w:type="paragraph" w:styleId="Cierre">
    <w:name w:val="Closing"/>
    <w:basedOn w:val="Normal"/>
    <w:next w:val="Firma"/>
    <w:link w:val="CierreCar"/>
    <w:rsid w:val="0045508E"/>
    <w:pPr>
      <w:tabs>
        <w:tab w:val="left" w:pos="5103"/>
      </w:tabs>
      <w:spacing w:before="240" w:after="240" w:line="240" w:lineRule="auto"/>
      <w:ind w:left="5103"/>
    </w:pPr>
    <w:rPr>
      <w:rFonts w:eastAsia="Times New Roman" w:cs="Times New Roman"/>
      <w:sz w:val="24"/>
      <w:szCs w:val="20"/>
    </w:rPr>
  </w:style>
  <w:style w:type="character" w:customStyle="1" w:styleId="CierreCar">
    <w:name w:val="Cierre Car"/>
    <w:basedOn w:val="Fuentedeprrafopredeter"/>
    <w:link w:val="Cierre"/>
    <w:rsid w:val="0045508E"/>
    <w:rPr>
      <w:rFonts w:eastAsia="Times New Roman" w:cs="Times New Roman"/>
      <w:sz w:val="24"/>
      <w:szCs w:val="20"/>
    </w:rPr>
  </w:style>
  <w:style w:type="paragraph" w:styleId="Firma">
    <w:name w:val="Signature"/>
    <w:basedOn w:val="Normal"/>
    <w:link w:val="FirmaCar"/>
    <w:uiPriority w:val="99"/>
    <w:semiHidden/>
    <w:unhideWhenUsed/>
    <w:rsid w:val="0045508E"/>
    <w:pPr>
      <w:spacing w:after="0" w:line="240" w:lineRule="auto"/>
      <w:ind w:left="4252"/>
    </w:pPr>
  </w:style>
  <w:style w:type="character" w:customStyle="1" w:styleId="FirmaCar">
    <w:name w:val="Firma Car"/>
    <w:basedOn w:val="Fuentedeprrafopredeter"/>
    <w:link w:val="Firma"/>
    <w:uiPriority w:val="99"/>
    <w:semiHidden/>
    <w:rsid w:val="0045508E"/>
  </w:style>
  <w:style w:type="character" w:styleId="Refdecomentario">
    <w:name w:val="annotation reference"/>
    <w:basedOn w:val="Fuentedeprrafopredeter"/>
    <w:uiPriority w:val="99"/>
    <w:semiHidden/>
    <w:unhideWhenUsed/>
    <w:rsid w:val="00C9181A"/>
    <w:rPr>
      <w:sz w:val="16"/>
      <w:szCs w:val="16"/>
    </w:rPr>
  </w:style>
  <w:style w:type="paragraph" w:styleId="Textocomentario">
    <w:name w:val="annotation text"/>
    <w:basedOn w:val="Normal"/>
    <w:link w:val="TextocomentarioCar"/>
    <w:uiPriority w:val="99"/>
    <w:semiHidden/>
    <w:unhideWhenUsed/>
    <w:rsid w:val="00C918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181A"/>
    <w:rPr>
      <w:sz w:val="20"/>
      <w:szCs w:val="20"/>
    </w:rPr>
  </w:style>
  <w:style w:type="paragraph" w:styleId="Asuntodelcomentario">
    <w:name w:val="annotation subject"/>
    <w:basedOn w:val="Textocomentario"/>
    <w:next w:val="Textocomentario"/>
    <w:link w:val="AsuntodelcomentarioCar"/>
    <w:uiPriority w:val="99"/>
    <w:semiHidden/>
    <w:unhideWhenUsed/>
    <w:rsid w:val="00C9181A"/>
    <w:rPr>
      <w:b/>
      <w:bCs/>
    </w:rPr>
  </w:style>
  <w:style w:type="character" w:customStyle="1" w:styleId="AsuntodelcomentarioCar">
    <w:name w:val="Asunto del comentario Car"/>
    <w:basedOn w:val="TextocomentarioCar"/>
    <w:link w:val="Asuntodelcomentario"/>
    <w:uiPriority w:val="99"/>
    <w:semiHidden/>
    <w:rsid w:val="00C9181A"/>
    <w:rPr>
      <w:b/>
      <w:bCs/>
      <w:sz w:val="20"/>
      <w:szCs w:val="20"/>
    </w:rPr>
  </w:style>
  <w:style w:type="paragraph" w:styleId="Prrafodelista">
    <w:name w:val="List Paragraph"/>
    <w:basedOn w:val="Normal"/>
    <w:uiPriority w:val="34"/>
    <w:qFormat/>
    <w:rsid w:val="007B7F69"/>
    <w:pPr>
      <w:spacing w:after="0" w:line="240" w:lineRule="auto"/>
      <w:ind w:left="720"/>
    </w:pPr>
    <w:rPr>
      <w:rFonts w:ascii="Calibri" w:hAnsi="Calibri" w:cs="Times New Roman"/>
    </w:rPr>
  </w:style>
  <w:style w:type="paragraph" w:styleId="NormalWeb">
    <w:name w:val="Normal (Web)"/>
    <w:basedOn w:val="Normal"/>
    <w:link w:val="NormalWebCar"/>
    <w:uiPriority w:val="99"/>
    <w:unhideWhenUsed/>
    <w:rsid w:val="00981B7F"/>
    <w:pPr>
      <w:spacing w:before="100" w:beforeAutospacing="1" w:after="100" w:afterAutospacing="1" w:line="240" w:lineRule="auto"/>
    </w:pPr>
    <w:rPr>
      <w:rFonts w:eastAsia="Times New Roman" w:cs="Times New Roman"/>
      <w:sz w:val="24"/>
      <w:szCs w:val="24"/>
      <w:lang w:eastAsia="en-GB"/>
    </w:rPr>
  </w:style>
  <w:style w:type="character" w:customStyle="1" w:styleId="NormalWebCar">
    <w:name w:val="Normal (Web) Car"/>
    <w:link w:val="NormalWeb"/>
    <w:uiPriority w:val="99"/>
    <w:rsid w:val="00981B7F"/>
    <w:rPr>
      <w:rFonts w:eastAsia="Times New Roman" w:cs="Times New Roman"/>
      <w:sz w:val="24"/>
      <w:szCs w:val="24"/>
      <w:lang w:eastAsia="en-GB"/>
    </w:rPr>
  </w:style>
  <w:style w:type="character" w:styleId="Hipervnculo">
    <w:name w:val="Hyperlink"/>
    <w:uiPriority w:val="99"/>
    <w:unhideWhenUsed/>
    <w:rsid w:val="00981B7F"/>
    <w:rPr>
      <w:color w:val="0000FF"/>
      <w:u w:val="single"/>
    </w:rPr>
  </w:style>
  <w:style w:type="paragraph" w:styleId="Revisin">
    <w:name w:val="Revision"/>
    <w:hidden/>
    <w:uiPriority w:val="99"/>
    <w:semiHidden/>
    <w:rsid w:val="00FC4B9C"/>
    <w:pPr>
      <w:spacing w:after="0" w:line="240" w:lineRule="auto"/>
    </w:pPr>
  </w:style>
  <w:style w:type="paragraph" w:styleId="Encabezado">
    <w:name w:val="header"/>
    <w:basedOn w:val="Normal"/>
    <w:link w:val="EncabezadoCar"/>
    <w:uiPriority w:val="99"/>
    <w:unhideWhenUsed/>
    <w:rsid w:val="00F5746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57465"/>
  </w:style>
  <w:style w:type="paragraph" w:styleId="Piedepgina">
    <w:name w:val="footer"/>
    <w:basedOn w:val="Normal"/>
    <w:link w:val="PiedepginaCar"/>
    <w:uiPriority w:val="99"/>
    <w:unhideWhenUsed/>
    <w:rsid w:val="00F5746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5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2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ED86-5FD4-4238-B2D7-0F414579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5906</Characters>
  <Application>Microsoft Office Word</Application>
  <DocSecurity>4</DocSecurity>
  <Lines>49</Lines>
  <Paragraphs>13</Paragraphs>
  <ScaleCrop>false</ScaleCrop>
  <HeadingPairs>
    <vt:vector size="6" baseType="variant">
      <vt:variant>
        <vt:lpstr>Título</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European Commission</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MANNONI Paola (TAXUD)</dc:creator>
  <cp:lastModifiedBy>Cristina Pascual Del Rio</cp:lastModifiedBy>
  <cp:revision>2</cp:revision>
  <dcterms:created xsi:type="dcterms:W3CDTF">2018-05-21T11:48:00Z</dcterms:created>
  <dcterms:modified xsi:type="dcterms:W3CDTF">2018-05-21T11:48:00Z</dcterms:modified>
</cp:coreProperties>
</file>