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511B3F">
        <w:rPr>
          <w:rFonts w:ascii="Bookman Old Style" w:hAnsi="Bookman Old Style" w:cs="Helv"/>
          <w:b/>
          <w:bCs/>
          <w:color w:val="000000"/>
          <w:sz w:val="20"/>
          <w:szCs w:val="20"/>
          <w:u w:val="single"/>
        </w:rPr>
        <w:t xml:space="preserve">Asunto: Novedades en la guía XML de importación. Recordatorio de su uso obligado a partir del 18 04 2018.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b/>
          <w:bCs/>
          <w:color w:val="000000"/>
          <w:sz w:val="20"/>
          <w:szCs w:val="20"/>
          <w:u w:val="single"/>
        </w:rPr>
      </w:pP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  <w:u w:val="single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>a)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ab/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 xml:space="preserve">Explicación del uso del identificador (ID) único del mensaje.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  <w:u w:val="single"/>
        </w:rPr>
      </w:pPr>
    </w:p>
    <w:p w:rsidR="001D6177" w:rsidRDefault="00511B3F" w:rsidP="001D617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Debido a las consultas realizadas en lo que afecta al control de transmisiones, </w:t>
      </w:r>
      <w:r w:rsidRPr="00511B3F">
        <w:rPr>
          <w:rFonts w:ascii="Bookman Old Style" w:hAnsi="Bookman Old Style" w:cs="Helv"/>
          <w:b/>
          <w:bCs/>
          <w:color w:val="000000"/>
          <w:sz w:val="20"/>
          <w:szCs w:val="20"/>
          <w:u w:val="single"/>
        </w:rPr>
        <w:t>se ha incluido en el apartado de "Integridad transaccional" de la guía de XML de importació</w:t>
      </w:r>
      <w:r w:rsidRPr="00511B3F">
        <w:rPr>
          <w:rFonts w:ascii="Bookman Old Style" w:hAnsi="Bookman Old Style" w:cs="Helv"/>
          <w:b/>
          <w:color w:val="000000"/>
          <w:sz w:val="20"/>
          <w:szCs w:val="20"/>
        </w:rPr>
        <w:t>n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>, el funcionamiento del control de transmisiones ante envíos con el mismo ID (identificador) y con igual o distinto contenido en los mensajes enviados para la misma declaración de importación. También se detalla cómo llevar el control ante envíos con distinto contenido para subsanar errores funcionales</w:t>
      </w:r>
      <w:r w:rsidR="001D6177">
        <w:rPr>
          <w:rFonts w:ascii="Bookman Old Style" w:hAnsi="Bookman Old Style" w:cs="Helv"/>
          <w:color w:val="000000"/>
          <w:sz w:val="20"/>
          <w:szCs w:val="20"/>
        </w:rPr>
        <w:t>: valores incorrectos, por ejemplo.</w:t>
      </w:r>
    </w:p>
    <w:p w:rsidR="00511B3F" w:rsidRPr="001D6177" w:rsidRDefault="00183C70" w:rsidP="001D617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Helv"/>
          <w:i/>
          <w:sz w:val="20"/>
          <w:szCs w:val="20"/>
        </w:rPr>
      </w:pPr>
      <w:hyperlink r:id="rId4" w:history="1">
        <w:r w:rsidR="001D6177" w:rsidRPr="00486637">
          <w:rPr>
            <w:rStyle w:val="Hipervnculo"/>
            <w:rFonts w:ascii="Bookman Old Style" w:hAnsi="Bookman Old Style" w:cs="Helv"/>
            <w:b/>
            <w:i/>
            <w:sz w:val="20"/>
            <w:szCs w:val="20"/>
          </w:rPr>
          <w:t>https://www2.agenciatributaria.gob.es/ADUA/internet/ws.html</w:t>
        </w:r>
      </w:hyperlink>
      <w:r w:rsidR="00511B3F" w:rsidRPr="00511B3F">
        <w:rPr>
          <w:rFonts w:ascii="Bookman Old Style" w:hAnsi="Bookman Old Style" w:cs="Helv"/>
          <w:i/>
          <w:color w:val="000000"/>
          <w:sz w:val="20"/>
          <w:szCs w:val="20"/>
        </w:rPr>
        <w:t>.</w:t>
      </w:r>
      <w:r w:rsidR="001D6177">
        <w:rPr>
          <w:rFonts w:ascii="Bookman Old Style" w:hAnsi="Bookman Old Style" w:cs="Helv"/>
          <w:i/>
          <w:color w:val="000000"/>
          <w:sz w:val="20"/>
          <w:szCs w:val="20"/>
        </w:rPr>
        <w:t xml:space="preserve"> </w:t>
      </w:r>
      <w:hyperlink r:id="rId5" w:history="1">
        <w:r w:rsidR="001D6177" w:rsidRPr="001D6177">
          <w:rPr>
            <w:rStyle w:val="Hipervnculo"/>
            <w:color w:val="auto"/>
            <w:u w:val="none"/>
            <w:shd w:val="clear" w:color="auto" w:fill="FFFFFF"/>
          </w:rPr>
          <w:t>Guía de Servicios Web de Importacion. V1.3.docx</w:t>
        </w:r>
      </w:hyperlink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>b)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ab/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>Ampliación del ID de los mensajes de importacion por XML.</w:t>
      </w:r>
      <w:r w:rsidRPr="00511B3F">
        <w:rPr>
          <w:rFonts w:ascii="Bookman Old Style" w:hAnsi="Bookman Old Style" w:cs="Times New Roman"/>
          <w:color w:val="000000"/>
          <w:sz w:val="20"/>
          <w:szCs w:val="20"/>
        </w:rPr>
        <w:br/>
      </w:r>
      <w:r w:rsidRPr="00511B3F">
        <w:rPr>
          <w:rFonts w:ascii="Bookman Old Style" w:hAnsi="Bookman Old Style" w:cs="Calibri"/>
          <w:b/>
          <w:bCs/>
          <w:color w:val="000000"/>
          <w:sz w:val="20"/>
          <w:szCs w:val="20"/>
        </w:rPr>
        <w:br/>
      </w:r>
      <w:r w:rsidRPr="00511B3F">
        <w:rPr>
          <w:rFonts w:ascii="Bookman Old Style" w:hAnsi="Bookman Old Style" w:cs="Calibri"/>
          <w:color w:val="000000"/>
          <w:sz w:val="20"/>
          <w:szCs w:val="20"/>
        </w:rPr>
        <w:t xml:space="preserve"> Se amplía el tamaño del ID del actual Alfanumérico de 20 caracteres al nuevo Alfanumérico de 40 caracteres. </w:t>
      </w:r>
      <w:r w:rsidR="006E0B8D">
        <w:rPr>
          <w:rFonts w:ascii="Bookman Old Style" w:hAnsi="Bookman Old Style" w:cs="Calibri"/>
          <w:color w:val="000000"/>
          <w:sz w:val="20"/>
          <w:szCs w:val="20"/>
        </w:rPr>
        <w:t>Rectificado en la guía XML</w:t>
      </w:r>
      <w:r w:rsidR="006E0B8D" w:rsidRPr="00511B3F">
        <w:rPr>
          <w:rFonts w:ascii="Bookman Old Style" w:hAnsi="Bookman Old Style" w:cs="Calibri"/>
          <w:b/>
          <w:i/>
          <w:color w:val="000000"/>
          <w:sz w:val="20"/>
          <w:szCs w:val="20"/>
        </w:rPr>
        <w:t xml:space="preserve"> </w:t>
      </w:r>
      <w:r w:rsidR="006E0B8D">
        <w:rPr>
          <w:rFonts w:ascii="Bookman Old Style" w:hAnsi="Bookman Old Style" w:cs="Calibri"/>
          <w:b/>
          <w:i/>
          <w:color w:val="000000"/>
          <w:sz w:val="20"/>
          <w:szCs w:val="20"/>
        </w:rPr>
        <w:t>y</w:t>
      </w:r>
      <w:r w:rsidR="00A26587">
        <w:rPr>
          <w:rFonts w:ascii="Bookman Old Style" w:hAnsi="Bookman Old Style" w:cs="Calibri"/>
          <w:b/>
          <w:i/>
          <w:color w:val="000000"/>
          <w:sz w:val="20"/>
          <w:szCs w:val="20"/>
        </w:rPr>
        <w:t>a se puede usar.</w:t>
      </w:r>
      <w:r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>c)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ab/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 xml:space="preserve">Ampliación de la longitud en las etiquetas de Razón </w:t>
      </w:r>
      <w:r w:rsidR="006E0B8D">
        <w:rPr>
          <w:rFonts w:ascii="Bookman Old Style" w:hAnsi="Bookman Old Style" w:cs="Helv"/>
          <w:color w:val="000000"/>
          <w:sz w:val="20"/>
          <w:szCs w:val="20"/>
          <w:u w:val="single"/>
        </w:rPr>
        <w:t>S</w:t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>ocial</w:t>
      </w:r>
      <w:r w:rsidR="006E0B8D">
        <w:rPr>
          <w:rFonts w:ascii="Bookman Old Style" w:hAnsi="Bookman Old Style" w:cs="Helv"/>
          <w:color w:val="000000"/>
          <w:sz w:val="20"/>
          <w:szCs w:val="20"/>
          <w:u w:val="single"/>
        </w:rPr>
        <w:t xml:space="preserve"> para declaraciones por XML</w:t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>.</w:t>
      </w:r>
      <w:r w:rsidRPr="00511B3F"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  <w:r w:rsidRPr="00511B3F">
        <w:rPr>
          <w:rFonts w:ascii="Bookman Old Style" w:hAnsi="Bookman Old Style" w:cs="Calibri"/>
          <w:color w:val="000000"/>
          <w:sz w:val="20"/>
          <w:szCs w:val="20"/>
        </w:rPr>
        <w:t xml:space="preserve">Se modifica la longitud de las etiquetas relacionadas con la Razón </w:t>
      </w:r>
      <w:r>
        <w:rPr>
          <w:rFonts w:ascii="Bookman Old Style" w:hAnsi="Bookman Old Style" w:cs="Calibri"/>
          <w:color w:val="000000"/>
          <w:sz w:val="20"/>
          <w:szCs w:val="20"/>
        </w:rPr>
        <w:t>S</w:t>
      </w:r>
      <w:r w:rsidRPr="00511B3F">
        <w:rPr>
          <w:rFonts w:ascii="Bookman Old Style" w:hAnsi="Bookman Old Style" w:cs="Calibri"/>
          <w:color w:val="000000"/>
          <w:sz w:val="20"/>
          <w:szCs w:val="20"/>
        </w:rPr>
        <w:t xml:space="preserve">ocial del operador (exportador, importador, declarante) pasando de alfanumérico de 35 caracteres a alfanumérico de 70 caracteres. </w:t>
      </w:r>
      <w:r w:rsidR="006E0B8D">
        <w:rPr>
          <w:rFonts w:ascii="Bookman Old Style" w:hAnsi="Bookman Old Style" w:cs="Calibri"/>
          <w:color w:val="000000"/>
          <w:sz w:val="20"/>
          <w:szCs w:val="20"/>
        </w:rPr>
        <w:t>Rectificado en la guía XML</w:t>
      </w:r>
      <w:r w:rsidR="00A26587">
        <w:rPr>
          <w:rFonts w:ascii="Bookman Old Style" w:hAnsi="Bookman Old Style" w:cs="Calibri"/>
          <w:color w:val="000000"/>
          <w:sz w:val="20"/>
          <w:szCs w:val="20"/>
        </w:rPr>
        <w:t xml:space="preserve"> y se podrá usar</w:t>
      </w:r>
      <w:r w:rsidR="006E0B8D"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  <w:r w:rsidR="006E0B8D" w:rsidRPr="006E0B8D">
        <w:rPr>
          <w:rFonts w:ascii="Bookman Old Style" w:hAnsi="Bookman Old Style" w:cs="Calibri"/>
          <w:b/>
          <w:i/>
          <w:color w:val="000000"/>
          <w:sz w:val="20"/>
          <w:szCs w:val="20"/>
        </w:rPr>
        <w:t>a</w:t>
      </w:r>
      <w:r w:rsidR="006E0B8D">
        <w:rPr>
          <w:rFonts w:ascii="Bookman Old Style" w:hAnsi="Bookman Old Style" w:cs="Calibri"/>
          <w:b/>
          <w:i/>
          <w:color w:val="000000"/>
          <w:sz w:val="20"/>
          <w:szCs w:val="20"/>
        </w:rPr>
        <w:t xml:space="preserve"> p</w:t>
      </w:r>
      <w:r w:rsidRPr="00511B3F">
        <w:rPr>
          <w:rFonts w:ascii="Bookman Old Style" w:hAnsi="Bookman Old Style" w:cs="Calibri"/>
          <w:b/>
          <w:i/>
          <w:color w:val="000000"/>
          <w:sz w:val="20"/>
          <w:szCs w:val="20"/>
        </w:rPr>
        <w:t>artir del miércoles 21-02-2018 14:40</w:t>
      </w:r>
      <w:r>
        <w:rPr>
          <w:rFonts w:ascii="Bookman Old Style" w:hAnsi="Bookman Old Style" w:cs="Calibri"/>
          <w:color w:val="000000"/>
          <w:sz w:val="20"/>
          <w:szCs w:val="20"/>
        </w:rPr>
        <w:t xml:space="preserve">. </w:t>
      </w:r>
      <w:r w:rsidRPr="00511B3F">
        <w:rPr>
          <w:rFonts w:ascii="Bookman Old Style" w:hAnsi="Bookman Old Style" w:cs="Calibri"/>
          <w:color w:val="000000"/>
          <w:sz w:val="20"/>
          <w:szCs w:val="20"/>
        </w:rPr>
        <w:t xml:space="preserve"> 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color w:val="000000"/>
          <w:sz w:val="20"/>
          <w:szCs w:val="20"/>
        </w:rPr>
      </w:pP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  <w:u w:val="single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>d)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ab/>
      </w:r>
      <w:r w:rsidRPr="00511B3F">
        <w:rPr>
          <w:rFonts w:ascii="Bookman Old Style" w:hAnsi="Bookman Old Style" w:cs="Helv"/>
          <w:color w:val="000000"/>
          <w:sz w:val="20"/>
          <w:szCs w:val="20"/>
          <w:u w:val="single"/>
        </w:rPr>
        <w:t xml:space="preserve">Recordatorio de entrada en vigor de la nueva guía XML Vs. versión </w:t>
      </w:r>
      <w:r w:rsidR="00BC4E68">
        <w:rPr>
          <w:rFonts w:ascii="Bookman Old Style" w:hAnsi="Bookman Old Style" w:cs="Helv"/>
          <w:color w:val="000000"/>
          <w:sz w:val="20"/>
          <w:szCs w:val="20"/>
          <w:u w:val="single"/>
        </w:rPr>
        <w:t>EDIFACT.</w:t>
      </w:r>
    </w:p>
    <w:p w:rsidR="00511B3F" w:rsidRPr="00511B3F" w:rsidRDefault="00511B3F" w:rsidP="00511B3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Helv"/>
          <w:color w:val="000000"/>
          <w:sz w:val="20"/>
          <w:szCs w:val="20"/>
          <w:u w:val="single"/>
        </w:rPr>
      </w:pPr>
    </w:p>
    <w:p w:rsidR="00511B3F" w:rsidRDefault="00511B3F" w:rsidP="00511B3F">
      <w:pPr>
        <w:jc w:val="both"/>
        <w:rPr>
          <w:rFonts w:ascii="Bookman Old Style" w:hAnsi="Bookman Old Style" w:cs="Helv"/>
          <w:color w:val="000000"/>
          <w:sz w:val="20"/>
          <w:szCs w:val="20"/>
        </w:rPr>
      </w:pP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A partir del 18-04-2018 las declaraciones de importación basadas en </w:t>
      </w:r>
      <w:r w:rsidR="00BC4E68" w:rsidRPr="00511B3F">
        <w:rPr>
          <w:rFonts w:ascii="Bookman Old Style" w:hAnsi="Bookman Old Style" w:cs="Helv"/>
          <w:color w:val="000000"/>
          <w:sz w:val="20"/>
          <w:szCs w:val="20"/>
        </w:rPr>
        <w:t>la guía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 de EDIFACT</w:t>
      </w:r>
      <w:r w:rsidR="00BC4E68">
        <w:rPr>
          <w:rFonts w:ascii="Bookman Old Style" w:hAnsi="Bookman Old Style" w:cs="Helv"/>
          <w:color w:val="000000"/>
          <w:sz w:val="20"/>
          <w:szCs w:val="20"/>
        </w:rPr>
        <w:t>,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 </w:t>
      </w:r>
      <w:r w:rsidR="00BC4E68">
        <w:rPr>
          <w:rFonts w:ascii="Bookman Old Style" w:hAnsi="Bookman Old Style" w:cs="Helv"/>
          <w:color w:val="000000"/>
          <w:sz w:val="20"/>
          <w:szCs w:val="20"/>
        </w:rPr>
        <w:t>NO</w:t>
      </w:r>
      <w:r w:rsidRPr="00511B3F">
        <w:rPr>
          <w:rFonts w:ascii="Bookman Old Style" w:hAnsi="Bookman Old Style" w:cs="Helv"/>
          <w:color w:val="000000"/>
          <w:sz w:val="20"/>
          <w:szCs w:val="20"/>
        </w:rPr>
        <w:t xml:space="preserve"> podrán realizarse. Solo se permitirá declaraciones de dúa de importación por medio de mensajes XML.  </w:t>
      </w:r>
    </w:p>
    <w:sectPr w:rsidR="00511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3F"/>
    <w:rsid w:val="00183C70"/>
    <w:rsid w:val="001D6177"/>
    <w:rsid w:val="00230940"/>
    <w:rsid w:val="00511B3F"/>
    <w:rsid w:val="006E0B8D"/>
    <w:rsid w:val="009C00C1"/>
    <w:rsid w:val="00A26587"/>
    <w:rsid w:val="00B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4D6C4-4699-4E18-8A74-9F6985D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agenciatributaria.gob.es/static_files/common/internet/dep/aduanas/es/aeat/dit/adu/adip/ws/Guia%20de%20Servicios%20Web%20de%20Importacion.%20V1.3.docx" TargetMode="External"/><Relationship Id="rId4" Type="http://schemas.openxmlformats.org/officeDocument/2006/relationships/hyperlink" Target="https://www2.agenciatributaria.gob.es/ADUA/internet/w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Tributaria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AEAT</dc:creator>
  <cp:keywords/>
  <dc:description/>
  <cp:lastModifiedBy>Angels Figueroa</cp:lastModifiedBy>
  <cp:revision>2</cp:revision>
  <dcterms:created xsi:type="dcterms:W3CDTF">2018-02-16T07:33:00Z</dcterms:created>
  <dcterms:modified xsi:type="dcterms:W3CDTF">2018-02-16T07:33:00Z</dcterms:modified>
</cp:coreProperties>
</file>